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8"/>
        </w:rPr>
      </w:pPr>
      <w:bookmarkStart w:id="0" w:name="rcel-20260824.htm"/>
      <w:bookmarkStart w:id="1" w:name="ksrcel20260824"/>
      <w:bookmarkEnd w:id="0"/>
      <w:bookmarkEnd w:id="1"/>
      <w:r>
        <w:rPr>
          <w:rFonts w:ascii="Times New Roman" w:hAnsi="Times New Roman"/>
          <w:b/>
          <w:color w:val="000000"/>
          <w:sz w:val="18"/>
        </w:rPr>
        <w:t>As filed with the Securities and Exchange Commission on August 25, 2026</w:t>
      </w:r>
    </w:p>
    <w:p>
      <w:pPr>
        <w:pStyle w:val="TextBody"/>
        <w:bidi w:val="0"/>
        <w:jc w:val="right"/>
        <w:rPr>
          <w:rFonts w:ascii="Times New Roman" w:hAnsi="Times New Roman"/>
          <w:b/>
          <w:color w:val="000000"/>
          <w:sz w:val="18"/>
        </w:rPr>
      </w:pPr>
      <w:r>
        <w:rPr>
          <w:rFonts w:ascii="Times New Roman" w:hAnsi="Times New Roman"/>
          <w:b/>
          <w:color w:val="000000"/>
          <w:sz w:val="18"/>
        </w:rPr>
        <w:t>Registration No. 333-</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1"/>
        </w:rPr>
      </w:pPr>
      <w:r>
        <w:rPr>
          <w:rFonts w:ascii="Times New Roman" w:hAnsi="Times New Roman"/>
          <w:b/>
          <w:color w:val="000000"/>
          <w:sz w:val="21"/>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b/>
          <w:color w:val="000000"/>
          <w:sz w:val="32"/>
        </w:rPr>
      </w:pPr>
      <w:r>
        <w:rPr>
          <w:rFonts w:ascii="Times New Roman" w:hAnsi="Times New Roman"/>
          <w:b/>
          <w:color w:val="000000"/>
          <w:sz w:val="32"/>
        </w:rPr>
        <w:t>REGISTRATION STATEMENT</w:t>
      </w:r>
    </w:p>
    <w:p>
      <w:pPr>
        <w:pStyle w:val="TextBody"/>
        <w:bidi w:val="0"/>
        <w:jc w:val="center"/>
        <w:rPr>
          <w:rFonts w:ascii="Times New Roman" w:hAnsi="Times New Roman"/>
          <w:b/>
          <w:i/>
          <w:color w:val="000000"/>
          <w:sz w:val="21"/>
        </w:rPr>
      </w:pPr>
      <w:r>
        <w:rPr>
          <w:rFonts w:ascii="Times New Roman" w:hAnsi="Times New Roman"/>
          <w:b/>
          <w:i/>
          <w:color w:val="000000"/>
          <w:sz w:val="21"/>
        </w:rPr>
        <w:t>Under</w:t>
      </w:r>
    </w:p>
    <w:p>
      <w:pPr>
        <w:pStyle w:val="TextBody"/>
        <w:bidi w:val="0"/>
        <w:jc w:val="center"/>
        <w:rPr>
          <w:rFonts w:ascii="Times New Roman" w:hAnsi="Times New Roman"/>
          <w:b/>
          <w:i/>
          <w:color w:val="000000"/>
          <w:sz w:val="21"/>
        </w:rPr>
      </w:pPr>
      <w:r>
        <w:rPr>
          <w:rFonts w:ascii="Times New Roman" w:hAnsi="Times New Roman"/>
          <w:b/>
          <w:i/>
          <w:color w:val="000000"/>
          <w:sz w:val="21"/>
        </w:rPr>
        <w:t>The Securities Act of 1933</w:t>
      </w:r>
    </w:p>
    <w:p>
      <w:pPr>
        <w:pStyle w:val="TextBody"/>
        <w:bidi w:val="0"/>
        <w:jc w:val="left"/>
        <w:rPr/>
      </w:pPr>
      <w:r>
        <w:rPr/>
        <w:t> </w:t>
      </w:r>
    </w:p>
    <w:p>
      <w:pPr>
        <w:pStyle w:val="TextBody"/>
        <w:bidi w:val="0"/>
        <w:jc w:val="center"/>
        <w:rPr>
          <w:rFonts w:ascii="Times New Roman" w:hAnsi="Times New Roman"/>
          <w:b/>
          <w:color w:val="000000"/>
          <w:sz w:val="43"/>
        </w:rPr>
      </w:pPr>
      <w:r>
        <w:rPr>
          <w:rFonts w:ascii="Times New Roman" w:hAnsi="Times New Roman"/>
          <w:b/>
          <w:color w:val="000000"/>
          <w:sz w:val="43"/>
        </w:rPr>
        <w:t>AVITA MEDICAL,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center"/>
        <w:rPr/>
      </w:pPr>
      <w:r>
        <w:rPr/>
        <w:t> </w:t>
      </w:r>
    </w:p>
    <w:tbl>
      <w:tblPr>
        <w:tblW w:w="5912" w:type="dxa"/>
        <w:jc w:val="left"/>
        <w:tblInd w:w="0" w:type="dxa"/>
        <w:tblLayout w:type="fixed"/>
        <w:tblCellMar>
          <w:top w:w="28" w:type="dxa"/>
          <w:left w:w="28" w:type="dxa"/>
          <w:bottom w:w="28" w:type="dxa"/>
          <w:right w:w="28" w:type="dxa"/>
        </w:tblCellMar>
      </w:tblPr>
      <w:tblGrid>
        <w:gridCol w:w="3751"/>
        <w:gridCol w:w="2161"/>
      </w:tblGrid>
      <w:tr>
        <w:trPr/>
        <w:tc>
          <w:tcPr>
            <w:tcW w:w="375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85-1021707</w:t>
            </w:r>
          </w:p>
        </w:tc>
      </w:tr>
      <w:tr>
        <w:trPr/>
        <w:tc>
          <w:tcPr>
            <w:tcW w:w="3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 Identification No.</w:t>
            </w:r>
          </w:p>
        </w:tc>
      </w:tr>
    </w:tbl>
    <w:p>
      <w:pPr>
        <w:pStyle w:val="TextBody"/>
        <w:bidi w:val="0"/>
        <w:jc w:val="center"/>
        <w:rPr>
          <w:rFonts w:ascii="Times New Roman" w:hAnsi="Times New Roman"/>
          <w:b/>
          <w:color w:val="000000"/>
          <w:sz w:val="18"/>
        </w:rPr>
      </w:pPr>
      <w:r>
        <w:rPr>
          <w:rFonts w:ascii="Times New Roman" w:hAnsi="Times New Roman"/>
          <w:b/>
          <w:color w:val="000000"/>
          <w:sz w:val="18"/>
        </w:rPr>
        <w:t>28159 Avenue Stanford, Suite 220</w:t>
      </w:r>
    </w:p>
    <w:p>
      <w:pPr>
        <w:pStyle w:val="TextBody"/>
        <w:bidi w:val="0"/>
        <w:jc w:val="center"/>
        <w:rPr>
          <w:rFonts w:ascii="Times New Roman" w:hAnsi="Times New Roman"/>
          <w:b/>
          <w:color w:val="000000"/>
          <w:sz w:val="18"/>
        </w:rPr>
      </w:pPr>
      <w:r>
        <w:rPr>
          <w:rFonts w:ascii="Times New Roman" w:hAnsi="Times New Roman"/>
          <w:b/>
          <w:color w:val="000000"/>
          <w:sz w:val="18"/>
        </w:rPr>
        <w:t>Valencia, CA 91355</w:t>
      </w:r>
    </w:p>
    <w:p>
      <w:pPr>
        <w:pStyle w:val="TextBody"/>
        <w:bidi w:val="0"/>
        <w:jc w:val="center"/>
        <w:rPr>
          <w:rFonts w:ascii="Times New Roman" w:hAnsi="Times New Roman"/>
          <w:b/>
          <w:color w:val="000000"/>
          <w:sz w:val="14"/>
        </w:rPr>
      </w:pPr>
      <w:r>
        <w:rPr>
          <w:rFonts w:ascii="Times New Roman" w:hAnsi="Times New Roman"/>
          <w:b/>
          <w:color w:val="000000"/>
          <w:sz w:val="14"/>
        </w:rPr>
        <w:t>(Address of principal executive offices) (Zip code)</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Individual Stock Option Grant Agreements</w:t>
      </w:r>
    </w:p>
    <w:p>
      <w:pPr>
        <w:pStyle w:val="TextBody"/>
        <w:bidi w:val="0"/>
        <w:jc w:val="center"/>
        <w:rPr>
          <w:rFonts w:ascii="Times New Roman" w:hAnsi="Times New Roman"/>
          <w:b/>
          <w:color w:val="000000"/>
          <w:sz w:val="18"/>
        </w:rPr>
      </w:pPr>
      <w:r>
        <w:rPr>
          <w:rFonts w:ascii="Times New Roman" w:hAnsi="Times New Roman"/>
          <w:b/>
          <w:color w:val="000000"/>
          <w:sz w:val="18"/>
        </w:rPr>
        <w:t>Individual Restricted Stock Unit Grant Agreements</w:t>
      </w:r>
    </w:p>
    <w:p>
      <w:pPr>
        <w:pStyle w:val="TextBody"/>
        <w:bidi w:val="0"/>
        <w:jc w:val="center"/>
        <w:rPr>
          <w:rFonts w:ascii="Times New Roman" w:hAnsi="Times New Roman"/>
          <w:b/>
          <w:color w:val="000000"/>
          <w:sz w:val="14"/>
        </w:rPr>
      </w:pPr>
      <w:r>
        <w:rPr>
          <w:rFonts w:ascii="Times New Roman" w:hAnsi="Times New Roman"/>
          <w:b/>
          <w:color w:val="000000"/>
          <w:sz w:val="14"/>
        </w:rPr>
        <w:t>(Full title of the plan)</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Nicole Kelsey</w:t>
      </w:r>
    </w:p>
    <w:p>
      <w:pPr>
        <w:pStyle w:val="TextBody"/>
        <w:bidi w:val="0"/>
        <w:jc w:val="center"/>
        <w:rPr>
          <w:rFonts w:ascii="Times New Roman" w:hAnsi="Times New Roman"/>
          <w:b/>
          <w:color w:val="000000"/>
          <w:sz w:val="18"/>
        </w:rPr>
      </w:pPr>
      <w:r>
        <w:rPr>
          <w:rFonts w:ascii="Times New Roman" w:hAnsi="Times New Roman"/>
          <w:b/>
          <w:color w:val="000000"/>
          <w:sz w:val="18"/>
        </w:rPr>
        <w:t>28159 Avenue Stanford, Suite 220</w:t>
      </w:r>
    </w:p>
    <w:p>
      <w:pPr>
        <w:pStyle w:val="TextBody"/>
        <w:bidi w:val="0"/>
        <w:jc w:val="center"/>
        <w:rPr>
          <w:rFonts w:ascii="Times New Roman" w:hAnsi="Times New Roman"/>
          <w:b/>
          <w:color w:val="000000"/>
          <w:sz w:val="18"/>
        </w:rPr>
      </w:pPr>
      <w:r>
        <w:rPr>
          <w:rFonts w:ascii="Times New Roman" w:hAnsi="Times New Roman"/>
          <w:b/>
          <w:color w:val="000000"/>
          <w:sz w:val="18"/>
        </w:rPr>
        <w:t>Valencia, CA 91355</w:t>
      </w:r>
    </w:p>
    <w:p>
      <w:pPr>
        <w:pStyle w:val="TextBody"/>
        <w:bidi w:val="0"/>
        <w:jc w:val="center"/>
        <w:rPr>
          <w:rFonts w:ascii="Times New Roman" w:hAnsi="Times New Roman"/>
          <w:b/>
          <w:color w:val="000000"/>
          <w:sz w:val="18"/>
        </w:rPr>
      </w:pPr>
      <w:r>
        <w:rPr>
          <w:rFonts w:ascii="Times New Roman" w:hAnsi="Times New Roman"/>
          <w:b/>
          <w:color w:val="000000"/>
          <w:sz w:val="18"/>
        </w:rPr>
        <w:t>(661) 367-9170</w:t>
      </w:r>
    </w:p>
    <w:p>
      <w:pPr>
        <w:pStyle w:val="TextBody"/>
        <w:bidi w:val="0"/>
        <w:jc w:val="center"/>
        <w:rPr>
          <w:rFonts w:ascii="Times New Roman" w:hAnsi="Times New Roman"/>
          <w:b/>
          <w:color w:val="000000"/>
          <w:sz w:val="14"/>
        </w:rPr>
      </w:pPr>
      <w:r>
        <w:rPr>
          <w:rFonts w:ascii="Times New Roman" w:hAnsi="Times New Roman"/>
          <w:b/>
          <w:color w:val="000000"/>
          <w:sz w:val="14"/>
        </w:rPr>
        <w:t>(Name, address, and telephone number, including area code, of agent for service)</w:t>
      </w:r>
    </w:p>
    <w:p>
      <w:pPr>
        <w:pStyle w:val="TextBody"/>
        <w:bidi w:val="0"/>
        <w:jc w:val="left"/>
        <w:rPr/>
      </w:pPr>
      <w:r>
        <w:rPr/>
        <w:t> </w:t>
      </w:r>
    </w:p>
    <w:p>
      <w:pPr>
        <w:pStyle w:val="TextBody"/>
        <w:bidi w:val="0"/>
        <w:jc w:val="center"/>
        <w:rPr>
          <w:rFonts w:ascii="Times New Roman" w:hAnsi="Times New Roman"/>
          <w:b/>
          <w:i/>
          <w:color w:val="000000"/>
          <w:sz w:val="18"/>
        </w:rPr>
      </w:pPr>
      <w:r>
        <w:rPr>
          <w:rFonts w:ascii="Times New Roman" w:hAnsi="Times New Roman"/>
          <w:b/>
          <w:i/>
          <w:color w:val="000000"/>
          <w:sz w:val="18"/>
        </w:rPr>
        <w:t>Copies to:</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Charles K. Ruck</w:t>
        <w:br/>
        <w:t>Sarah B. Axtell</w:t>
      </w:r>
    </w:p>
    <w:p>
      <w:pPr>
        <w:pStyle w:val="TextBody"/>
        <w:bidi w:val="0"/>
        <w:jc w:val="center"/>
        <w:rPr>
          <w:rFonts w:ascii="Times New Roman" w:hAnsi="Times New Roman"/>
          <w:b/>
          <w:color w:val="000000"/>
          <w:sz w:val="18"/>
        </w:rPr>
      </w:pPr>
      <w:r>
        <w:rPr>
          <w:rFonts w:ascii="Times New Roman" w:hAnsi="Times New Roman"/>
          <w:b/>
          <w:color w:val="000000"/>
          <w:sz w:val="18"/>
        </w:rPr>
        <w:t>Latham &amp; Watkins LLP</w:t>
      </w:r>
    </w:p>
    <w:p>
      <w:pPr>
        <w:pStyle w:val="TextBody"/>
        <w:bidi w:val="0"/>
        <w:jc w:val="center"/>
        <w:rPr>
          <w:rFonts w:ascii="Times New Roman" w:hAnsi="Times New Roman"/>
          <w:b/>
          <w:color w:val="000000"/>
          <w:sz w:val="18"/>
        </w:rPr>
      </w:pPr>
      <w:r>
        <w:rPr>
          <w:rFonts w:ascii="Times New Roman" w:hAnsi="Times New Roman"/>
          <w:b/>
          <w:color w:val="000000"/>
          <w:sz w:val="18"/>
        </w:rPr>
        <w:t>650 Town Center Drive, 20th Floor</w:t>
      </w:r>
    </w:p>
    <w:p>
      <w:pPr>
        <w:pStyle w:val="TextBody"/>
        <w:bidi w:val="0"/>
        <w:jc w:val="center"/>
        <w:rPr>
          <w:rFonts w:ascii="Times New Roman" w:hAnsi="Times New Roman"/>
          <w:sz w:val="20"/>
        </w:rPr>
      </w:pPr>
      <w:r>
        <w:rPr>
          <w:rFonts w:ascii="Times New Roman" w:hAnsi="Times New Roman"/>
          <w:b/>
          <w:color w:val="000000"/>
          <w:sz w:val="18"/>
        </w:rPr>
        <w:t>Costa Mesa, California 92626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(714) 540-1235</w:t>
      </w:r>
      <w:r>
        <w:rPr>
          <w:rFonts w:ascii="Times New Roman" w:hAnsi="Times New Roman"/>
          <w:color w:val="000000"/>
          <w:sz w:val="20"/>
        </w:rPr>
        <w:t xml:space="preserve"> </w:t>
      </w:r>
    </w:p>
    <w:p>
      <w:pPr>
        <w:pStyle w:val="TextBody"/>
        <w:bidi w:val="0"/>
        <w:jc w:val="left"/>
        <w:rPr/>
      </w:pPr>
      <w:r>
        <w:rPr/>
        <w:t> </w:t>
      </w:r>
    </w:p>
    <w:p>
      <w:pPr>
        <w:pStyle w:val="TextBody"/>
        <w:bidi w:val="0"/>
        <w:spacing w:before="2" w:after="283"/>
        <w:jc w:val="left"/>
        <w:rPr/>
      </w:pPr>
      <w:r>
        <w:rPr/>
        <w:t> </w:t>
      </w:r>
    </w:p>
    <w:p>
      <w:pPr>
        <w:pStyle w:val="TextBody"/>
        <w:bidi w:val="0"/>
        <w:spacing w:before="1"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6" w:after="283"/>
        <w:jc w:val="left"/>
        <w:rPr/>
      </w:pPr>
      <w:r>
        <w:rPr/>
        <w:t> </w:t>
      </w:r>
    </w:p>
    <w:tbl>
      <w:tblPr>
        <w:tblW w:w="7681" w:type="dxa"/>
        <w:jc w:val="left"/>
        <w:tblInd w:w="0" w:type="dxa"/>
        <w:tblLayout w:type="fixed"/>
        <w:tblCellMar>
          <w:top w:w="28" w:type="dxa"/>
          <w:left w:w="28" w:type="dxa"/>
          <w:bottom w:w="28" w:type="dxa"/>
          <w:right w:w="28" w:type="dxa"/>
        </w:tblCellMar>
      </w:tblPr>
      <w:tblGrid>
        <w:gridCol w:w="1849"/>
        <w:gridCol w:w="3196"/>
        <w:gridCol w:w="2158"/>
        <w:gridCol w:w="478"/>
      </w:tblGrid>
      <w:tr>
        <w:trPr/>
        <w:tc>
          <w:tcPr>
            <w:tcW w:w="1849"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849" w:type="dxa"/>
            <w:tcBorders/>
            <w:tcMar>
              <w:top w:w="0" w:type="dxa"/>
              <w:left w:w="0" w:type="dxa"/>
              <w:bottom w:w="0" w:type="dxa"/>
              <w:right w:w="0" w:type="dxa"/>
            </w:tcMar>
            <w:vAlign w:val="center"/>
          </w:tcPr>
          <w:p>
            <w:pPr>
              <w:pStyle w:val="TableContents"/>
              <w:bidi w:val="0"/>
              <w:spacing w:before="0" w:after="283"/>
              <w:ind w:left="0" w:right="0" w:firstLine="183"/>
              <w:jc w:val="left"/>
              <w:rPr>
                <w:rFonts w:ascii="Times New Roman" w:hAnsi="Times New Roman"/>
                <w:color w:val="000000"/>
                <w:sz w:val="18"/>
              </w:rPr>
            </w:pPr>
            <w:r>
              <w:rPr>
                <w:rFonts w:ascii="Times New Roman" w:hAnsi="Times New Roman"/>
                <w:color w:val="000000"/>
                <w:sz w:val="18"/>
              </w:rPr>
              <w:t>Large accelerated filer</w:t>
            </w:r>
          </w:p>
        </w:tc>
        <w:tc>
          <w:tcPr>
            <w:tcW w:w="3196" w:type="dxa"/>
            <w:tcBorders/>
            <w:tcMar>
              <w:top w:w="0" w:type="dxa"/>
              <w:left w:w="0" w:type="dxa"/>
              <w:bottom w:w="0" w:type="dxa"/>
              <w:right w:w="0" w:type="dxa"/>
            </w:tcMar>
            <w:vAlign w:val="center"/>
          </w:tcPr>
          <w:p>
            <w:pPr>
              <w:pStyle w:val="TableContents"/>
              <w:bidi w:val="0"/>
              <w:spacing w:before="0" w:after="283"/>
              <w:ind w:left="0" w:right="0" w:firstLine="2880"/>
              <w:jc w:val="left"/>
              <w:rPr>
                <w:color w:val="000000"/>
              </w:rPr>
            </w:pPr>
            <w:r>
              <w:rPr>
                <w:color w:val="000000"/>
              </w:rPr>
              <w:t>☐</w:t>
            </w:r>
          </w:p>
        </w:tc>
        <w:tc>
          <w:tcPr>
            <w:tcW w:w="2158" w:type="dxa"/>
            <w:tcBorders/>
            <w:tcMar>
              <w:top w:w="0" w:type="dxa"/>
              <w:left w:w="0" w:type="dxa"/>
              <w:bottom w:w="0" w:type="dxa"/>
              <w:right w:w="0" w:type="dxa"/>
            </w:tcMar>
            <w:vAlign w:val="center"/>
          </w:tcPr>
          <w:p>
            <w:pPr>
              <w:pStyle w:val="TableContents"/>
              <w:bidi w:val="0"/>
              <w:spacing w:before="0" w:after="283"/>
              <w:ind w:left="0" w:right="0" w:firstLine="117"/>
              <w:jc w:val="left"/>
              <w:rPr>
                <w:rFonts w:ascii="Times New Roman" w:hAnsi="Times New Roman"/>
                <w:color w:val="000000"/>
                <w:sz w:val="18"/>
              </w:rPr>
            </w:pPr>
            <w:r>
              <w:rPr>
                <w:rFonts w:ascii="Times New Roman" w:hAnsi="Times New Roman"/>
                <w:color w:val="000000"/>
                <w:sz w:val="18"/>
              </w:rPr>
              <w:t>Accelerated filer</w:t>
            </w:r>
          </w:p>
        </w:tc>
        <w:tc>
          <w:tcPr>
            <w:tcW w:w="478" w:type="dxa"/>
            <w:tcBorders/>
            <w:tcMar>
              <w:top w:w="0" w:type="dxa"/>
              <w:left w:w="0" w:type="dxa"/>
              <w:bottom w:w="0" w:type="dxa"/>
              <w:right w:w="0" w:type="dxa"/>
            </w:tcMar>
            <w:vAlign w:val="center"/>
          </w:tcPr>
          <w:p>
            <w:pPr>
              <w:pStyle w:val="TableContents"/>
              <w:bidi w:val="0"/>
              <w:spacing w:before="0" w:after="283"/>
              <w:ind w:left="0" w:right="0" w:firstLine="50"/>
              <w:jc w:val="left"/>
              <w:rPr>
                <w:color w:val="000000"/>
              </w:rPr>
            </w:pPr>
            <w:r>
              <w:rPr>
                <w:color w:val="000000"/>
              </w:rPr>
              <w:t>☐</w:t>
            </w:r>
          </w:p>
        </w:tc>
      </w:tr>
      <w:tr>
        <w:trPr/>
        <w:tc>
          <w:tcPr>
            <w:tcW w:w="1849" w:type="dxa"/>
            <w:tcBorders/>
            <w:tcMar>
              <w:top w:w="0" w:type="dxa"/>
              <w:left w:w="0" w:type="dxa"/>
              <w:bottom w:w="0" w:type="dxa"/>
              <w:right w:w="0" w:type="dxa"/>
            </w:tcMar>
            <w:vAlign w:val="center"/>
          </w:tcPr>
          <w:p>
            <w:pPr>
              <w:pStyle w:val="TableContents"/>
              <w:bidi w:val="0"/>
              <w:spacing w:before="56" w:after="283"/>
              <w:ind w:left="0" w:right="0" w:firstLine="183"/>
              <w:jc w:val="left"/>
              <w:rPr>
                <w:rFonts w:ascii="Times New Roman" w:hAnsi="Times New Roman"/>
                <w:color w:val="000000"/>
                <w:sz w:val="18"/>
              </w:rPr>
            </w:pPr>
            <w:r>
              <w:rPr>
                <w:rFonts w:ascii="Times New Roman" w:hAnsi="Times New Roman"/>
                <w:color w:val="000000"/>
                <w:sz w:val="18"/>
              </w:rPr>
              <w:t>Non-accelerated filer</w:t>
            </w:r>
          </w:p>
        </w:tc>
        <w:tc>
          <w:tcPr>
            <w:tcW w:w="3196" w:type="dxa"/>
            <w:tcBorders/>
            <w:tcMar>
              <w:top w:w="0" w:type="dxa"/>
              <w:left w:w="0" w:type="dxa"/>
              <w:bottom w:w="0" w:type="dxa"/>
              <w:right w:w="0" w:type="dxa"/>
            </w:tcMar>
            <w:vAlign w:val="center"/>
          </w:tcPr>
          <w:p>
            <w:pPr>
              <w:pStyle w:val="TableContents"/>
              <w:bidi w:val="0"/>
              <w:spacing w:before="30" w:after="283"/>
              <w:ind w:left="0" w:right="0" w:firstLine="2880"/>
              <w:jc w:val="left"/>
              <w:rPr>
                <w:color w:val="000000"/>
              </w:rPr>
            </w:pPr>
            <w:r>
              <w:rPr>
                <w:color w:val="000000"/>
              </w:rPr>
              <w:t>☒</w:t>
            </w:r>
          </w:p>
        </w:tc>
        <w:tc>
          <w:tcPr>
            <w:tcW w:w="2158" w:type="dxa"/>
            <w:tcBorders/>
            <w:tcMar>
              <w:top w:w="0" w:type="dxa"/>
              <w:left w:w="0" w:type="dxa"/>
              <w:bottom w:w="0" w:type="dxa"/>
              <w:right w:w="0" w:type="dxa"/>
            </w:tcMar>
            <w:vAlign w:val="center"/>
          </w:tcPr>
          <w:p>
            <w:pPr>
              <w:pStyle w:val="TableContents"/>
              <w:bidi w:val="0"/>
              <w:spacing w:before="56" w:after="283"/>
              <w:ind w:left="0" w:right="0" w:firstLine="117"/>
              <w:jc w:val="left"/>
              <w:rPr>
                <w:rFonts w:ascii="Times New Roman" w:hAnsi="Times New Roman"/>
                <w:color w:val="000000"/>
                <w:sz w:val="18"/>
              </w:rPr>
            </w:pPr>
            <w:r>
              <w:rPr>
                <w:rFonts w:ascii="Times New Roman" w:hAnsi="Times New Roman"/>
                <w:color w:val="000000"/>
                <w:sz w:val="18"/>
              </w:rPr>
              <w:t>Smaller reporting company</w:t>
            </w:r>
          </w:p>
        </w:tc>
        <w:tc>
          <w:tcPr>
            <w:tcW w:w="478" w:type="dxa"/>
            <w:tcBorders/>
            <w:tcMar>
              <w:top w:w="0" w:type="dxa"/>
              <w:left w:w="0" w:type="dxa"/>
              <w:bottom w:w="0" w:type="dxa"/>
              <w:right w:w="0" w:type="dxa"/>
            </w:tcMar>
            <w:vAlign w:val="center"/>
          </w:tcPr>
          <w:p>
            <w:pPr>
              <w:pStyle w:val="TableContents"/>
              <w:bidi w:val="0"/>
              <w:spacing w:before="30" w:after="283"/>
              <w:ind w:left="0" w:right="0" w:firstLine="117"/>
              <w:jc w:val="left"/>
              <w:rPr>
                <w:color w:val="000000"/>
              </w:rPr>
            </w:pPr>
            <w:r>
              <w:rPr>
                <w:color w:val="000000"/>
              </w:rPr>
              <w:t>☒</w:t>
            </w:r>
          </w:p>
        </w:tc>
      </w:tr>
      <w:tr>
        <w:trPr/>
        <w:tc>
          <w:tcPr>
            <w:tcW w:w="1849"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2158" w:type="dxa"/>
            <w:tcBorders/>
            <w:tcMar>
              <w:top w:w="0" w:type="dxa"/>
              <w:left w:w="0" w:type="dxa"/>
              <w:bottom w:w="0" w:type="dxa"/>
              <w:right w:w="0" w:type="dxa"/>
            </w:tcMar>
            <w:vAlign w:val="center"/>
          </w:tcPr>
          <w:p>
            <w:pPr>
              <w:pStyle w:val="TableContents"/>
              <w:bidi w:val="0"/>
              <w:spacing w:before="56" w:after="283"/>
              <w:ind w:left="0" w:right="0" w:firstLine="117"/>
              <w:jc w:val="left"/>
              <w:rPr>
                <w:rFonts w:ascii="Times New Roman" w:hAnsi="Times New Roman"/>
                <w:color w:val="000000"/>
                <w:sz w:val="18"/>
              </w:rPr>
            </w:pPr>
            <w:r>
              <w:rPr>
                <w:rFonts w:ascii="Times New Roman" w:hAnsi="Times New Roman"/>
                <w:color w:val="000000"/>
                <w:sz w:val="18"/>
              </w:rPr>
              <w:t>Emerging growth company</w:t>
            </w:r>
          </w:p>
        </w:tc>
        <w:tc>
          <w:tcPr>
            <w:tcW w:w="478" w:type="dxa"/>
            <w:tcBorders/>
            <w:tcMar>
              <w:top w:w="0" w:type="dxa"/>
              <w:left w:w="0" w:type="dxa"/>
              <w:bottom w:w="0" w:type="dxa"/>
              <w:right w:w="0" w:type="dxa"/>
            </w:tcMar>
            <w:vAlign w:val="center"/>
          </w:tcPr>
          <w:p>
            <w:pPr>
              <w:pStyle w:val="TableContents"/>
              <w:bidi w:val="0"/>
              <w:spacing w:before="0" w:after="283"/>
              <w:ind w:left="0" w:right="0" w:firstLine="117"/>
              <w:jc w:val="left"/>
              <w:rPr>
                <w:color w:val="000000"/>
              </w:rPr>
            </w:pPr>
            <w:r>
              <w:rPr>
                <w:color w:val="000000"/>
              </w:rPr>
              <w:t>☐</w:t>
            </w:r>
          </w:p>
        </w:tc>
      </w:tr>
    </w:tbl>
    <w:p>
      <w:pPr>
        <w:pStyle w:val="TextBody"/>
        <w:bidi w:val="0"/>
        <w:spacing w:before="28" w:after="283"/>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1"/>
        <w:bidi w:val="0"/>
        <w:spacing w:before="102" w:after="283"/>
        <w:jc w:val="center"/>
        <w:rPr>
          <w:rFonts w:ascii="Times New Roman" w:hAnsi="Times New Roman"/>
          <w:color w:val="000000"/>
          <w:sz w:val="18"/>
        </w:rPr>
      </w:pPr>
      <w:r>
        <w:rPr>
          <w:rFonts w:ascii="Times New Roman" w:hAnsi="Times New Roman"/>
          <w:color w:val="000000"/>
          <w:sz w:val="18"/>
        </w:rPr>
        <w:t>EXPLANATORY NOTE</w:t>
      </w:r>
    </w:p>
    <w:p>
      <w:pPr>
        <w:pStyle w:val="TextBody"/>
        <w:bidi w:val="0"/>
        <w:spacing w:before="17" w:after="283"/>
        <w:jc w:val="left"/>
        <w:rPr/>
      </w:pPr>
      <w:r>
        <w:rPr/>
        <w:t> </w:t>
      </w:r>
    </w:p>
    <w:p>
      <w:pPr>
        <w:pStyle w:val="TextBody"/>
        <w:bidi w:val="0"/>
        <w:spacing w:before="1" w:after="283"/>
        <w:jc w:val="left"/>
        <w:rPr>
          <w:rFonts w:ascii="Times New Roman" w:hAnsi="Times New Roman"/>
          <w:color w:val="000000"/>
          <w:sz w:val="18"/>
        </w:rPr>
      </w:pPr>
      <w:r>
        <w:rPr>
          <w:rFonts w:ascii="Times New Roman" w:hAnsi="Times New Roman"/>
          <w:color w:val="000000"/>
          <w:sz w:val="18"/>
        </w:rPr>
        <w:t>This registration statement (this “Registration Statement”) on Form S-8 is being filed to register an aggregate of 345,388 shares of common stock that are issuable upon the exercise of 145,307 stock options and the vesting of 200,081 restricted stock units (“RSUs”) granted pursuant to individual stock option award and RSU award agreements approved by the Registrant’s stockholders on June 3, 2026 at the Registrant’s 2026 Annual Meeting of Stockholders.</w:t>
      </w:r>
    </w:p>
    <w:p>
      <w:pPr>
        <w:pStyle w:val="TextBody"/>
        <w:bidi w:val="0"/>
        <w:spacing w:before="1" w:after="283"/>
        <w:jc w:val="left"/>
        <w:rPr/>
      </w:pPr>
      <w:r>
        <w:rPr/>
        <w:t> </w:t>
      </w:r>
    </w:p>
    <w:p>
      <w:pPr>
        <w:pStyle w:val="Heading1"/>
        <w:bidi w:val="0"/>
        <w:spacing w:before="102" w:after="283"/>
        <w:jc w:val="center"/>
        <w:rPr>
          <w:rFonts w:ascii="Times New Roman" w:hAnsi="Times New Roman"/>
          <w:color w:val="000000"/>
          <w:sz w:val="18"/>
        </w:rPr>
      </w:pPr>
      <w:r>
        <w:rPr>
          <w:rFonts w:ascii="Times New Roman" w:hAnsi="Times New Roman"/>
          <w:color w:val="000000"/>
          <w:sz w:val="18"/>
        </w:rPr>
        <w:t>PART I</w:t>
      </w:r>
    </w:p>
    <w:p>
      <w:pPr>
        <w:pStyle w:val="TextBody"/>
        <w:bidi w:val="0"/>
        <w:spacing w:before="9" w:after="283"/>
        <w:jc w:val="center"/>
        <w:rPr>
          <w:rFonts w:ascii="Times New Roman" w:hAnsi="Times New Roman"/>
          <w:b/>
          <w:color w:val="000000"/>
          <w:sz w:val="18"/>
        </w:rPr>
      </w:pPr>
      <w:r>
        <w:rPr>
          <w:rFonts w:ascii="Times New Roman" w:hAnsi="Times New Roman"/>
          <w:b/>
          <w:color w:val="000000"/>
          <w:sz w:val="18"/>
        </w:rPr>
        <w:t>INFORMATION REQUIRED IN THE SECTION 10(a) PROSPECTUS</w:t>
      </w:r>
    </w:p>
    <w:p>
      <w:pPr>
        <w:pStyle w:val="TextBody"/>
        <w:bidi w:val="0"/>
        <w:spacing w:before="18"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documents containing the information specified in Part I of Form S-8 will be sent or given to participants as specified by Rule 428(b)(1) of the Securities Act of 1933, as amended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pStyle w:val="TextBody"/>
        <w:bidi w:val="0"/>
        <w:spacing w:before="20" w:after="283"/>
        <w:jc w:val="left"/>
        <w:rPr/>
      </w:pPr>
      <w:r>
        <w:rPr/>
        <w:t> </w:t>
      </w:r>
    </w:p>
    <w:p>
      <w:pPr>
        <w:pStyle w:val="Heading1"/>
        <w:bidi w:val="0"/>
        <w:jc w:val="center"/>
        <w:rPr>
          <w:rFonts w:ascii="Times New Roman" w:hAnsi="Times New Roman"/>
          <w:color w:val="000000"/>
          <w:sz w:val="18"/>
        </w:rPr>
      </w:pPr>
      <w:r>
        <w:rPr>
          <w:rFonts w:ascii="Times New Roman" w:hAnsi="Times New Roman"/>
          <w:color w:val="000000"/>
          <w:sz w:val="18"/>
        </w:rPr>
        <w:t>PART II</w:t>
      </w:r>
    </w:p>
    <w:p>
      <w:pPr>
        <w:pStyle w:val="TextBody"/>
        <w:bidi w:val="0"/>
        <w:spacing w:before="9" w:after="283"/>
        <w:jc w:val="center"/>
        <w:rPr>
          <w:rFonts w:ascii="Times New Roman" w:hAnsi="Times New Roman"/>
          <w:b/>
          <w:color w:val="000000"/>
          <w:sz w:val="18"/>
        </w:rPr>
      </w:pPr>
      <w:r>
        <w:rPr>
          <w:rFonts w:ascii="Times New Roman" w:hAnsi="Times New Roman"/>
          <w:b/>
          <w:color w:val="000000"/>
          <w:sz w:val="18"/>
        </w:rPr>
        <w:t>INFORMATION REQUIRED IN THE REGISTRATION STATEMENT</w:t>
      </w:r>
    </w:p>
    <w:p>
      <w:pPr>
        <w:pStyle w:val="TextBody"/>
        <w:bidi w:val="0"/>
        <w:spacing w:before="18" w:after="283"/>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In this registration statement, AVITA Medical, Inc. is sometimes referred to as “Registrant,” “we,” “us,” “our,” or “AVITA”.</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3. Incorporation of Documents by Reference.</w:t>
      </w:r>
    </w:p>
    <w:p>
      <w:pPr>
        <w:pStyle w:val="TextBody"/>
        <w:bidi w:val="0"/>
        <w:spacing w:before="117" w:after="283"/>
        <w:jc w:val="left"/>
        <w:rPr>
          <w:rFonts w:ascii="Times New Roman" w:hAnsi="Times New Roman"/>
          <w:color w:val="000000"/>
          <w:sz w:val="18"/>
        </w:rPr>
      </w:pPr>
      <w:r>
        <w:rPr>
          <w:rFonts w:ascii="Times New Roman" w:hAnsi="Times New Roman"/>
          <w:color w:val="000000"/>
          <w:sz w:val="18"/>
        </w:rPr>
        <w:t>The SEC’s rules allow us to “incorporate by reference” information into this Registration Statement, which means that we can disclose important information to you by referring you to another document filed separately with the SEC. Information incorporated by reference is deemed to be part of this Registration Statement, and subsequent information that we file with the SEC will automatically update and supersede that information. Any statement contained in this Registration Statement or a previously filed document incorporated by reference will be deemed to be modified or superseded for purposes of this Registration Statement to the extent that a statement contained in this Registration Statement or a subsequently filed document incorporated by reference modifies or replaces that statement.</w:t>
      </w:r>
    </w:p>
    <w:p>
      <w:pPr>
        <w:pStyle w:val="TextBody"/>
        <w:bidi w:val="0"/>
        <w:spacing w:before="11"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hereby incorporate by reference into this Registration Statement the following documents previously filed with the SEC:</w:t>
      </w:r>
    </w:p>
    <w:p>
      <w:pPr>
        <w:pStyle w:val="TextBody"/>
        <w:bidi w:val="0"/>
        <w:spacing w:before="13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30" w:after="283"/>
        <w:jc w:val="left"/>
        <w:rPr/>
      </w:pPr>
      <w:r>
        <w:rPr>
          <w:rFonts w:ascii="Times New Roman" w:hAnsi="Times New Roman"/>
          <w:color w:val="000000"/>
          <w:sz w:val="18"/>
        </w:rPr>
        <w:t xml:space="preserve">our Annual Report on </w:t>
      </w:r>
      <w:hyperlink r:id="rId2">
        <w:r>
          <w:rPr>
            <w:rStyle w:val="InternetLink"/>
            <w:rFonts w:ascii="Times New Roman" w:hAnsi="Times New Roman"/>
            <w:color w:val="0000FF"/>
            <w:sz w:val="18"/>
            <w:u w:val="single"/>
          </w:rPr>
          <w:t>Form 10-K</w:t>
        </w:r>
      </w:hyperlink>
      <w:r>
        <w:rPr>
          <w:color w:val="0000ED"/>
        </w:rPr>
        <w:t xml:space="preserve"> </w:t>
      </w:r>
      <w:r>
        <w:rPr>
          <w:rFonts w:ascii="Times New Roman" w:hAnsi="Times New Roman"/>
          <w:color w:val="000000"/>
          <w:sz w:val="18"/>
        </w:rPr>
        <w:t>for the year ended December 31, 2025, filed with the SEC on February 12, 2026;</w:t>
      </w:r>
    </w:p>
    <w:p>
      <w:pPr>
        <w:pStyle w:val="TextBody"/>
        <w:bidi w:val="0"/>
        <w:spacing w:before="13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30" w:after="283"/>
        <w:jc w:val="left"/>
        <w:rPr/>
      </w:pPr>
      <w:r>
        <w:rPr>
          <w:rFonts w:ascii="Times New Roman" w:hAnsi="Times New Roman"/>
          <w:color w:val="000000"/>
          <w:sz w:val="18"/>
        </w:rPr>
        <w:t xml:space="preserve">the information specifically incorporated by reference into our Annual Report on Form 10-K from our Definitive Proxy Statement on </w:t>
      </w:r>
      <w:hyperlink r:id="rId3">
        <w:r>
          <w:rPr>
            <w:rStyle w:val="InternetLink"/>
            <w:rFonts w:ascii="Times New Roman" w:hAnsi="Times New Roman"/>
            <w:color w:val="0000FF"/>
            <w:sz w:val="18"/>
            <w:u w:val="single"/>
          </w:rPr>
          <w:t>Schedule 14A</w:t>
        </w:r>
      </w:hyperlink>
      <w:r>
        <w:rPr>
          <w:rFonts w:ascii="Times New Roman" w:hAnsi="Times New Roman"/>
          <w:color w:val="000000"/>
          <w:sz w:val="18"/>
        </w:rPr>
        <w:t>, filed with the SEC on April 22, 2026;</w:t>
      </w:r>
    </w:p>
    <w:p>
      <w:pPr>
        <w:pStyle w:val="TextBody"/>
        <w:bidi w:val="0"/>
        <w:spacing w:before="131"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31" w:after="283"/>
        <w:jc w:val="left"/>
        <w:rPr/>
      </w:pPr>
      <w:r>
        <w:rPr>
          <w:rFonts w:ascii="Times New Roman" w:hAnsi="Times New Roman"/>
          <w:color w:val="000000"/>
          <w:sz w:val="18"/>
        </w:rPr>
        <w:t>our Quarterly Reports on Form 10-Q</w:t>
      </w:r>
      <w:r>
        <w:rPr>
          <w:color w:val="0000ED"/>
        </w:rPr>
        <w:t xml:space="preserve"> </w:t>
      </w:r>
      <w:r>
        <w:rPr>
          <w:rFonts w:ascii="Times New Roman" w:hAnsi="Times New Roman"/>
          <w:color w:val="000000"/>
          <w:sz w:val="18"/>
        </w:rPr>
        <w:t xml:space="preserve">for the quarters ended </w:t>
      </w:r>
      <w:hyperlink r:id="rId4">
        <w:r>
          <w:rPr>
            <w:rStyle w:val="InternetLink"/>
            <w:rFonts w:ascii="Times New Roman" w:hAnsi="Times New Roman"/>
            <w:color w:val="0000FF"/>
            <w:sz w:val="18"/>
            <w:u w:val="single"/>
          </w:rPr>
          <w:t>March 31, 2026</w:t>
        </w:r>
      </w:hyperlink>
      <w:r>
        <w:rPr>
          <w:color w:val="000000"/>
        </w:rPr>
        <w:t xml:space="preserve"> </w:t>
      </w:r>
      <w:r>
        <w:rPr>
          <w:rFonts w:ascii="Times New Roman" w:hAnsi="Times New Roman"/>
          <w:color w:val="000000"/>
          <w:sz w:val="18"/>
        </w:rPr>
        <w:t xml:space="preserve">and </w:t>
      </w:r>
      <w:hyperlink r:id="rId5">
        <w:r>
          <w:rPr>
            <w:rStyle w:val="InternetLink"/>
            <w:rFonts w:ascii="Times New Roman" w:hAnsi="Times New Roman"/>
            <w:color w:val="0000FF"/>
            <w:sz w:val="18"/>
            <w:u w:val="single"/>
          </w:rPr>
          <w:t>June 30, 2026</w:t>
        </w:r>
      </w:hyperlink>
      <w:r>
        <w:rPr>
          <w:rFonts w:ascii="Times New Roman" w:hAnsi="Times New Roman"/>
          <w:color w:val="000000"/>
          <w:sz w:val="18"/>
        </w:rPr>
        <w:t>, filed with the SEC on May 14, 2026 and August 6, 2026, respectively;</w:t>
      </w:r>
    </w:p>
    <w:p>
      <w:pPr>
        <w:pStyle w:val="TextBody"/>
        <w:bidi w:val="0"/>
        <w:spacing w:before="102"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02" w:after="283"/>
        <w:jc w:val="left"/>
        <w:rPr/>
      </w:pPr>
      <w:r>
        <w:rPr>
          <w:rFonts w:ascii="Times New Roman" w:hAnsi="Times New Roman"/>
          <w:color w:val="000000"/>
          <w:sz w:val="18"/>
        </w:rPr>
        <w:t xml:space="preserve">our Current Reports on Form 8-K or Form 8-K/A filed with the SEC (other than information furnished rather than filed) on </w:t>
      </w:r>
      <w:hyperlink r:id="rId6">
        <w:r>
          <w:rPr>
            <w:rStyle w:val="InternetLink"/>
            <w:rFonts w:ascii="Times New Roman" w:hAnsi="Times New Roman"/>
            <w:color w:val="0000FF"/>
            <w:sz w:val="18"/>
            <w:u w:val="single"/>
          </w:rPr>
          <w:t>January 5, 2026</w:t>
        </w:r>
      </w:hyperlink>
      <w:r>
        <w:rPr>
          <w:rFonts w:ascii="Times New Roman" w:hAnsi="Times New Roman"/>
          <w:color w:val="000000"/>
          <w:sz w:val="18"/>
        </w:rPr>
        <w:t xml:space="preserve">, </w:t>
      </w:r>
      <w:hyperlink r:id="rId7">
        <w:r>
          <w:rPr>
            <w:rStyle w:val="InternetLink"/>
            <w:rFonts w:ascii="Times New Roman" w:hAnsi="Times New Roman"/>
            <w:color w:val="0000FF"/>
            <w:sz w:val="18"/>
            <w:u w:val="single"/>
          </w:rPr>
          <w:t>January 13, 2026</w:t>
        </w:r>
      </w:hyperlink>
      <w:r>
        <w:rPr>
          <w:rFonts w:ascii="Times New Roman" w:hAnsi="Times New Roman"/>
          <w:color w:val="000000"/>
          <w:sz w:val="18"/>
        </w:rPr>
        <w:t xml:space="preserve">, </w:t>
      </w:r>
      <w:hyperlink r:id="rId8">
        <w:r>
          <w:rPr>
            <w:rStyle w:val="InternetLink"/>
            <w:rFonts w:ascii="Times New Roman" w:hAnsi="Times New Roman"/>
            <w:color w:val="0000FF"/>
            <w:sz w:val="18"/>
            <w:u w:val="single"/>
          </w:rPr>
          <w:t>May 1, 2026</w:t>
        </w:r>
      </w:hyperlink>
      <w:r>
        <w:rPr>
          <w:rFonts w:ascii="Times New Roman" w:hAnsi="Times New Roman"/>
          <w:color w:val="000000"/>
          <w:sz w:val="18"/>
        </w:rPr>
        <w:t xml:space="preserve">, </w:t>
      </w:r>
      <w:hyperlink r:id="rId9">
        <w:r>
          <w:rPr>
            <w:rStyle w:val="InternetLink"/>
            <w:rFonts w:ascii="Times New Roman" w:hAnsi="Times New Roman"/>
            <w:color w:val="0000FF"/>
            <w:sz w:val="18"/>
            <w:u w:val="single"/>
          </w:rPr>
          <w:t>June 4, 2026</w:t>
        </w:r>
      </w:hyperlink>
      <w:r>
        <w:rPr>
          <w:rFonts w:ascii="Times New Roman" w:hAnsi="Times New Roman"/>
          <w:color w:val="000000"/>
          <w:sz w:val="18"/>
        </w:rPr>
        <w:t xml:space="preserve">, </w:t>
      </w:r>
      <w:hyperlink r:id="rId10">
        <w:r>
          <w:rPr>
            <w:rStyle w:val="InternetLink"/>
            <w:rFonts w:ascii="Times New Roman" w:hAnsi="Times New Roman"/>
            <w:color w:val="0000FF"/>
            <w:sz w:val="18"/>
            <w:u w:val="single"/>
          </w:rPr>
          <w:t>June 8, 2026</w:t>
        </w:r>
      </w:hyperlink>
      <w:r>
        <w:rPr>
          <w:rFonts w:ascii="Times New Roman" w:hAnsi="Times New Roman"/>
          <w:color w:val="000000"/>
          <w:sz w:val="18"/>
        </w:rPr>
        <w:t xml:space="preserve">, </w:t>
      </w:r>
      <w:hyperlink r:id="rId11">
        <w:r>
          <w:rPr>
            <w:rStyle w:val="InternetLink"/>
            <w:rFonts w:ascii="Times New Roman" w:hAnsi="Times New Roman"/>
            <w:color w:val="0000FF"/>
            <w:sz w:val="18"/>
            <w:u w:val="single"/>
          </w:rPr>
          <w:t>August 6, 2026</w:t>
        </w:r>
      </w:hyperlink>
      <w:r>
        <w:rPr>
          <w:rFonts w:ascii="Times New Roman" w:hAnsi="Times New Roman"/>
          <w:color w:val="000000"/>
          <w:sz w:val="18"/>
        </w:rPr>
        <w:t xml:space="preserve">, and </w:t>
      </w:r>
      <w:hyperlink r:id="rId12">
        <w:r>
          <w:rPr>
            <w:rStyle w:val="InternetLink"/>
            <w:rFonts w:ascii="Times New Roman" w:hAnsi="Times New Roman"/>
            <w:color w:val="0000FF"/>
            <w:sz w:val="18"/>
            <w:u w:val="single"/>
          </w:rPr>
          <w:t>August 11, 2026</w:t>
        </w:r>
      </w:hyperlink>
      <w:r>
        <w:rPr>
          <w:rFonts w:ascii="Times New Roman" w:hAnsi="Times New Roman"/>
          <w:color w:val="000000"/>
          <w:sz w:val="18"/>
        </w:rPr>
        <w:t>; and</w:t>
      </w:r>
    </w:p>
    <w:p>
      <w:pPr>
        <w:pStyle w:val="TextBody"/>
        <w:bidi w:val="0"/>
        <w:spacing w:before="123" w:after="283"/>
        <w:jc w:val="left"/>
        <w:rPr>
          <w:rFonts w:ascii="Times New Roman" w:hAnsi="Times New Roman"/>
          <w:color w:val="000000"/>
          <w:sz w:val="18"/>
        </w:rPr>
      </w:pPr>
      <w:r>
        <w:rPr>
          <w:rFonts w:ascii="Times New Roman" w:hAnsi="Times New Roman"/>
          <w:color w:val="000000"/>
          <w:sz w:val="18"/>
        </w:rPr>
        <w:t>(e)</w:t>
      </w:r>
    </w:p>
    <w:p>
      <w:pPr>
        <w:pStyle w:val="TextBody"/>
        <w:bidi w:val="0"/>
        <w:spacing w:before="123" w:after="283"/>
        <w:jc w:val="left"/>
        <w:rPr/>
      </w:pPr>
      <w:r>
        <w:rPr>
          <w:rFonts w:ascii="Times New Roman" w:hAnsi="Times New Roman"/>
          <w:color w:val="000000"/>
          <w:sz w:val="18"/>
        </w:rPr>
        <w:t xml:space="preserve">the description of our common stock set forth on the </w:t>
      </w:r>
      <w:hyperlink r:id="rId13">
        <w:r>
          <w:rPr>
            <w:rStyle w:val="InternetLink"/>
            <w:rFonts w:ascii="Times New Roman" w:hAnsi="Times New Roman"/>
            <w:color w:val="0000ED"/>
            <w:sz w:val="18"/>
            <w:u w:val="single"/>
          </w:rPr>
          <w:t>Form 8-K12B</w:t>
        </w:r>
      </w:hyperlink>
      <w:r>
        <w:rPr>
          <w:color w:val="0000ED"/>
        </w:rPr>
        <w:t xml:space="preserve"> </w:t>
      </w:r>
      <w:r>
        <w:rPr>
          <w:rFonts w:ascii="Times New Roman" w:hAnsi="Times New Roman"/>
          <w:color w:val="000000"/>
          <w:sz w:val="18"/>
        </w:rPr>
        <w:t>filed with the SEC on June 30, 2020, including any amendment or reports filed for the purpose of updating this description.</w:t>
      </w:r>
    </w:p>
    <w:p>
      <w:pPr>
        <w:pStyle w:val="TextBody"/>
        <w:bidi w:val="0"/>
        <w:jc w:val="left"/>
        <w:rPr/>
      </w:pPr>
      <w:r>
        <w:rPr/>
        <w:t> </w:t>
      </w:r>
    </w:p>
    <w:p>
      <w:pPr>
        <w:pStyle w:val="TextBody"/>
        <w:bidi w:val="0"/>
        <w:spacing w:before="117" w:after="283"/>
        <w:jc w:val="left"/>
        <w:rPr>
          <w:rFonts w:ascii="Times New Roman" w:hAnsi="Times New Roman"/>
          <w:color w:val="000000"/>
          <w:sz w:val="18"/>
        </w:rPr>
      </w:pPr>
      <w:r>
        <w:rPr>
          <w:rFonts w:ascii="Times New Roman" w:hAnsi="Times New Roman"/>
          <w:color w:val="000000"/>
          <w:sz w:val="18"/>
        </w:rPr>
        <w:t>All documents that the Registrant subsequently files pursuant to Sections 13(a), 13(c), 14 and 15(d) of the Securities Exchange Act of 1934, as amended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current Items 2.02 or 7.01 of Form 8-K, or exhibits furnished on such form that relate to such items,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left"/>
        <w:rPr/>
      </w:pPr>
      <w:r>
        <w:rPr/>
        <w:t> </w:t>
      </w:r>
    </w:p>
    <w:p>
      <w:pPr>
        <w:pStyle w:val="TextBody"/>
        <w:bidi w:val="0"/>
        <w:spacing w:before="117" w:after="283"/>
        <w:jc w:val="left"/>
        <w:rPr>
          <w:rFonts w:ascii="Times New Roman" w:hAnsi="Times New Roman"/>
          <w:color w:val="000000"/>
          <w:sz w:val="18"/>
        </w:rPr>
      </w:pPr>
      <w:r>
        <w:rPr>
          <w:rFonts w:ascii="Times New Roman" w:hAnsi="Times New Roman"/>
          <w:color w:val="000000"/>
          <w:sz w:val="18"/>
        </w:rPr>
        <w:t>Under no circumstances will any information furnished under current Items 2.02 or 7.01 of Form 8-K, or exhibits furnished on such form that relate to such items, be deemed incorporated herein by reference, unless such Form 8-K expressly provides to the contrary.</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6. Indemnification of Directors and Officers.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are a Delaware corporation and certain provisions of Delaware law and our bylaws provide for indemnification of our officers and directors against liabilities that they may incur in such capacities. A summary of the circumstances in which indemnification is provided is discussed below, but this description is qualified in its entirety by reference to our bylaws and to the statutory provisions.</w:t>
      </w:r>
    </w:p>
    <w:p>
      <w:pPr>
        <w:pStyle w:val="TextBody"/>
        <w:bidi w:val="0"/>
        <w:spacing w:before="11"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Section 145 of the Delaware General Corporation Law (“DGCL”) provides for, under certain circumstances, the indemnification of our officers, directors, employees and agents against liabilities that they may incur in such capacities. A summary of the circumstances in which such indemnification provided for is set forth below, but that description is qualified in its entirety by reference to the relevant Section of the DGCL.</w:t>
      </w:r>
    </w:p>
    <w:p>
      <w:pPr>
        <w:pStyle w:val="HorizontalLine"/>
        <w:pBdr>
          <w:bottom w:val="double" w:sz="2" w:space="0" w:color="808080"/>
        </w:pBdr>
        <w:bidi w:val="0"/>
        <w:spacing w:before="0" w:after="283"/>
        <w:jc w:val="left"/>
        <w:rPr/>
      </w:pPr>
      <w:r>
        <w:rPr/>
      </w:r>
    </w:p>
    <w:p>
      <w:pPr>
        <w:pStyle w:val="TextBody"/>
        <w:bidi w:val="0"/>
        <w:spacing w:before="11" w:after="283"/>
        <w:jc w:val="left"/>
        <w:rPr/>
      </w:pPr>
      <w:r>
        <w:rPr/>
        <w:t> </w:t>
      </w:r>
    </w:p>
    <w:p>
      <w:pPr>
        <w:pStyle w:val="TextBody"/>
        <w:bidi w:val="0"/>
        <w:spacing w:before="1" w:after="283"/>
        <w:jc w:val="left"/>
        <w:rPr>
          <w:rFonts w:ascii="Times New Roman" w:hAnsi="Times New Roman"/>
          <w:color w:val="000000"/>
          <w:sz w:val="18"/>
        </w:rPr>
      </w:pPr>
      <w:r>
        <w:rPr>
          <w:rFonts w:ascii="Times New Roman" w:hAnsi="Times New Roman"/>
          <w:color w:val="000000"/>
          <w:sz w:val="18"/>
        </w:rPr>
        <w:t>In general, the DGCL provides that any director, officer, employee or agent of a corporation may be indemnified against expenses (including attorneys’ fees), judgments, fines and amounts paid in settlement, actually and reasonably incurred in a proceeding (including any civil, criminal, administrative or investigative proceeding) to which the individual was a party by reason of such status. Such indemnity may be provided if the indemnified person’s actions resulting in the liabilities: (i) were taken in good faith; (ii) were reasonably believed to have been in or not opposed to the Company’s best interest; and (iii) with respect to any criminal action, such person had no reasonable cause to believe the actions were unlawful. Unless ordered by a court, indemnification generally may be awarded only after a determination of independent members of the Board of Directors or a committee thereof, or by independent legal counsel, or by vote of the stockholders, that the applicable standard of conduct was met by the individual to be indemnified. The statutory provisions further provide that to the extent a director, officer, employee or agent is wholly successful on the merits or otherwise in defense of any proceeding to which he was a party, he is entitled to receive indemnification against expenses, including attorneys’ fees, actually and reasonably incurred in connection with the proceeding.</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Indemnification in connection with a proceeding by or in the right of the Company in which the director, officer, employee or agent is successful is permitted only with respect to expenses, including attorneys’ fees actually and reasonably incurred in connection with the defense. In such actions, the person to be indemnified must have acted in good faith, in a manner believed to have been in our best interest and must not have been adjudged liable to us unless and only to the extent that the Court of Chancery or the court in which such action or suit was brought shall determine upon application that, despite the adjudication of liability, in view of all the circumstances of the case, such person is fairly and reasonably entitled to indemnity for such expense which the Court of Chancery or such other court shall deem proper. Indemnification is otherwise prohibited in connection with a proceeding brought on behalf of the Company in which a director is adjudged liable to us, or in connection with any proceeding charging improper personal benefit to the director in which the director is adjudged liable for receipt of such improper personal benefit.</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Delaware law authorizes us to reimburse or pay reasonable expenses incurred by a director, officer, employee or agent in connection with a proceeding in advance of a final disposition of the matter. Such advances of expenses are permitted if the director, officer, employee or agent furnishes to the Company a written agreement to repay such advances if it is determined that he is not entitled to be indemnified by the Company.</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section of the DGCL cited above further specifies that any provisions for indemnification of, or advances for expenses, does not exclude other rights under our certificate of incorporation, corporate bylaws, resolutions of our stockholders or disinterested directors, or otherwise. These indemnification provisions continue for a person who has ceased to be a director, officer, employee or agent of the corporation and inure to the benefit of the heirs, executors, and administrators of such directors, officers, employees or agents of the Company.</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provision of the DGCL cited above also grants the power to the Company to purchase and maintain insurance policies that protect any director, officer, employee or agent against any liability asserted against, or incurred by, him in such capacity arising out of his status as such. Such policies may provide for indemnification whether or not the corporation would otherwise have the power to provide for it.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Article V of our certificate of incorporation provides that the Company shall indemnify our directors and officers to the fullest extent permitted by the DGCL.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 officers may not be indemnified for actions by or in the right of the corporation. Article VI of our certificate of incorporation provides that we shall exculpate our directors from personal liability either to the Company or any of our stockholders for monetary damages for breach of fiduciary duty as a director, except to the extent such exemption from liability or limitation thereof is not permitted under the DGCL.</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amended and restated bylaws provide that we will indemnify and hold harmless, to the fullest extent permitted by applicable law, any person (all such persons being referred to as a “Covered Person”) who was or is made, or is threatened to be made, a party or is otherwise involved in any action, suit or proceeding (other than a Proceeding commenced by such Covered Person unless such commencement was authorized by our Board of Directors), whether civil, criminal, administrative or investigative (referred to as a “Proceeding”), by reason of the fact that he or she, or a person for whom he or she is the legal representative, is or was our director or officer or, while our director or officer, is or was serving at our request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We will also, to the fullest extent not prohibited by applicable law, pay the expenses (including reasonable attorneys’ fees) incurred by a Covered Person in defending any Proceeding in advance of its final disposition; provided, however, that, to the extent required by law, such payment of expenses in advance of the final disposition of the Proceeding will be made only upon receipt of an undertaking by the Covered Person to repay all amounts advanced if it should be ultimately determined that the Covered Person is not entitled to be indemnified by us.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entered into indemnification agreements with each of our directors and officers. These indemnification agreements may require us, among other things, to indemnify our directors and officers for some expenses, including attorneys’ fees, judgments, fines, ERISA excise taxes, penalties and settlement amounts reasonably incurred by such director or officer in any action or proceeding arising out of his or her service as one of our directors or officers, or any other company or enterprise to which the person provides services at our request.</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We have purchased directors’ and officers’ liability insurance in order to limit the exposure to liability for indemnification of directors and officers, including liabilities under the Securities 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Insofar as indemnification for liabilities arising under the Securities Act may be permitted for our directors, officers, employees, or agents pursuant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18"/>
        </w:rPr>
      </w:pPr>
      <w:r>
        <w:rPr>
          <w:rFonts w:ascii="Times New Roman" w:hAnsi="Times New Roman"/>
          <w:color w:val="000000"/>
          <w:sz w:val="18"/>
        </w:rPr>
        <w:t>to the foregoing provisions or otherwise, we have been advised that in the opinion of the SEC, such indemnification is against public policy as expressed in the Securities Act and, therefore, may be unenforceable.</w:t>
      </w:r>
    </w:p>
    <w:p>
      <w:pPr>
        <w:pStyle w:val="TextBody"/>
        <w:bidi w:val="0"/>
        <w:spacing w:before="166" w:after="283"/>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Item 8. Exhibits.</w:t>
      </w:r>
    </w:p>
    <w:p>
      <w:pPr>
        <w:pStyle w:val="Heading1"/>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89"/>
        <w:gridCol w:w="146"/>
        <w:gridCol w:w="9170"/>
      </w:tblGrid>
      <w:tr>
        <w:trPr/>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70" w:type="dxa"/>
            <w:tcBorders/>
            <w:vAlign w:val="center"/>
          </w:tcPr>
          <w:p>
            <w:pPr>
              <w:pStyle w:val="TableContents"/>
              <w:bidi w:val="0"/>
              <w:spacing w:before="0" w:after="283"/>
              <w:jc w:val="left"/>
              <w:rPr>
                <w:sz w:val="4"/>
                <w:szCs w:val="4"/>
              </w:rPr>
            </w:pPr>
            <w:r>
              <w:rPr>
                <w:sz w:val="4"/>
                <w:szCs w:val="4"/>
              </w:rPr>
            </w:r>
          </w:p>
        </w:tc>
      </w:tr>
      <w:tr>
        <w:trPr/>
        <w:tc>
          <w:tcPr>
            <w:tcW w:w="88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7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09" w:after="283"/>
              <w:jc w:val="left"/>
              <w:rPr/>
            </w:pPr>
            <w:hyperlink r:id="rId14">
              <w:r>
                <w:rPr>
                  <w:rStyle w:val="InternetLink"/>
                  <w:rFonts w:ascii="Times New Roman" w:hAnsi="Times New Roman"/>
                  <w:color w:val="0000FF"/>
                  <w:sz w:val="20"/>
                  <w:u w:val="single"/>
                </w:rPr>
                <w:t>Certificate of Incorporation (filed as Exhibit 3.1 to the Registrant’s Current Report on Form 8-K12B filed with the SEC on June 30, 2020 and incorporated herein by reference)</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Certificate of Amendment of Certificate of Incorporation (filed as Exhibit 3.2 to the Registrant’s Transition Report on Form 10-KT filed with the SEC on February 28, 2022 and incorporated herein by reference)</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4.3</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Bylaws (filed as Exhibit 3.1 to the Registrant’s Form 8-K filed with the SEC on May 15, 2025 and incorporated herein by reference)</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4.4</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Specimen Stock Certificate for Shares of the Common Stock of the Registrant (filed as Exhibit 4.1 to the Registrant’s Current Report on Form 8-K12B filed with the SEC on June 30, 2020 and incorporated herein by reference)</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0" w:after="283"/>
              <w:jc w:val="left"/>
              <w:rPr/>
            </w:pPr>
            <w:hyperlink w:anchor="rcel-ex5_1.htm">
              <w:r>
                <w:rPr>
                  <w:rStyle w:val="InternetLink"/>
                  <w:rFonts w:ascii="Times New Roman" w:hAnsi="Times New Roman"/>
                  <w:color w:val="0000FF"/>
                  <w:sz w:val="20"/>
                  <w:u w:val="single"/>
                </w:rPr>
                <w:t>Opinion of Latham &amp; Watkins LLP</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7" w:after="283"/>
              <w:jc w:val="left"/>
              <w:rPr/>
            </w:pPr>
            <w:hyperlink w:anchor="rcel-ex23_1.htm">
              <w:r>
                <w:rPr>
                  <w:rStyle w:val="InternetLink"/>
                  <w:rFonts w:ascii="Times New Roman" w:hAnsi="Times New Roman"/>
                  <w:color w:val="0000FF"/>
                  <w:sz w:val="20"/>
                  <w:u w:val="single"/>
                </w:rPr>
                <w:t>Consent of Grant Thornton LLP</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7" w:after="283"/>
              <w:jc w:val="left"/>
              <w:rPr/>
            </w:pPr>
            <w:hyperlink w:anchor="rcel-ex5_1.htm">
              <w:r>
                <w:rPr>
                  <w:rStyle w:val="InternetLink"/>
                  <w:rFonts w:ascii="Times New Roman" w:hAnsi="Times New Roman"/>
                  <w:color w:val="0000FF"/>
                  <w:sz w:val="20"/>
                  <w:u w:val="single"/>
                </w:rPr>
                <w:t>Consent of Latham &amp; Watkins LLP (included in Exhibit 5.1)</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70" w:type="dxa"/>
            <w:tcBorders/>
            <w:tcMar>
              <w:top w:w="0" w:type="dxa"/>
              <w:left w:w="0" w:type="dxa"/>
              <w:bottom w:w="0" w:type="dxa"/>
              <w:right w:w="0" w:type="dxa"/>
            </w:tcMar>
            <w:vAlign w:val="center"/>
          </w:tcPr>
          <w:p>
            <w:pPr>
              <w:pStyle w:val="TableContents"/>
              <w:bidi w:val="0"/>
              <w:spacing w:before="117" w:after="283"/>
              <w:jc w:val="center"/>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7" w:after="283"/>
              <w:jc w:val="left"/>
              <w:rPr>
                <w:rFonts w:ascii="Times New Roman" w:hAnsi="Times New Roman"/>
                <w:color w:val="0000FF"/>
                <w:sz w:val="20"/>
                <w:u w:val="single"/>
              </w:rPr>
            </w:pPr>
            <w:r>
              <w:rPr>
                <w:rFonts w:ascii="Times New Roman" w:hAnsi="Times New Roman"/>
                <w:color w:val="0000FF"/>
                <w:sz w:val="20"/>
                <w:u w:val="single"/>
              </w:rPr>
              <w:t>Power of Attorney (included on signature page)</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7" w:after="283"/>
              <w:jc w:val="lef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09" w:after="283"/>
              <w:jc w:val="left"/>
              <w:rPr/>
            </w:pPr>
            <w:hyperlink r:id="rId18">
              <w:r>
                <w:rPr>
                  <w:rStyle w:val="InternetLink"/>
                  <w:rFonts w:ascii="Times New Roman" w:hAnsi="Times New Roman"/>
                  <w:color w:val="0000FF"/>
                  <w:sz w:val="20"/>
                  <w:u w:val="single"/>
                </w:rPr>
                <w:t>Form of Stock Option Grant (filed as Exhibit 10.19 to the Registrant's Annual Report on Form 10-K filed with the SEC on February 23, 2023 and incorporated herein by reference)</w:t>
              </w:r>
            </w:hyperlink>
          </w:p>
          <w:p>
            <w:pPr>
              <w:pStyle w:val="TableContents"/>
              <w:bidi w:val="0"/>
              <w:spacing w:before="0" w:after="283"/>
              <w:jc w:val="lef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7" w:after="283"/>
              <w:jc w:val="lef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RSU Agreement (filed as Exhibit 10.20 to the Registrant's Annual Report on Form 10-K filed with the SEC on February 23, 2023 and incorporated herein by reference)</w:t>
              </w:r>
            </w:hyperlink>
          </w:p>
        </w:tc>
      </w:tr>
      <w:tr>
        <w:trPr/>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7" w:after="283"/>
              <w:jc w:val="lef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0" w:type="dxa"/>
            <w:tcBorders/>
            <w:tcMar>
              <w:top w:w="0" w:type="dxa"/>
              <w:left w:w="0" w:type="dxa"/>
              <w:bottom w:w="0" w:type="dxa"/>
              <w:right w:w="0" w:type="dxa"/>
            </w:tcMar>
            <w:vAlign w:val="center"/>
          </w:tcPr>
          <w:p>
            <w:pPr>
              <w:pStyle w:val="TableContents"/>
              <w:bidi w:val="0"/>
              <w:spacing w:before="117" w:after="283"/>
              <w:jc w:val="left"/>
              <w:rPr/>
            </w:pPr>
            <w:hyperlink w:anchor="rcel_exfilingfees.htm">
              <w:r>
                <w:rPr>
                  <w:rStyle w:val="InternetLink"/>
                  <w:rFonts w:ascii="Times New Roman" w:hAnsi="Times New Roman"/>
                  <w:color w:val="0000FF"/>
                  <w:sz w:val="20"/>
                  <w:u w:val="single"/>
                </w:rPr>
                <w:t>Filing Fee Table</w:t>
              </w:r>
            </w:hyperlink>
          </w:p>
        </w:tc>
      </w:tr>
    </w:tbl>
    <w:p>
      <w:pPr>
        <w:pStyle w:val="Heading1"/>
        <w:bidi w:val="0"/>
        <w:jc w:val="left"/>
        <w:rPr>
          <w:rFonts w:ascii="Times New Roman" w:hAnsi="Times New Roman"/>
          <w:b w:val="false"/>
          <w:color w:val="000000"/>
          <w:sz w:val="18"/>
        </w:rPr>
      </w:pPr>
      <w:r>
        <w:rPr>
          <w:rFonts w:ascii="Times New Roman" w:hAnsi="Times New Roman"/>
          <w:b w:val="false"/>
          <w:color w:val="000000"/>
          <w:sz w:val="18"/>
        </w:rPr>
        <w:t>+ Filed herewith</w:t>
      </w:r>
    </w:p>
    <w:p>
      <w:pPr>
        <w:pStyle w:val="TextBody"/>
        <w:bidi w:val="0"/>
        <w:jc w:val="left"/>
        <w:rPr>
          <w:rFonts w:ascii="Times New Roman" w:hAnsi="Times New Roman"/>
          <w:color w:val="000000"/>
          <w:sz w:val="18"/>
        </w:rPr>
      </w:pPr>
      <w:r>
        <w:rPr>
          <w:rFonts w:ascii="Times New Roman" w:hAnsi="Times New Roman"/>
          <w:color w:val="000000"/>
          <w:sz w:val="18"/>
        </w:rPr>
        <w:t># Indicates management contract or compensatory plan</w:t>
      </w:r>
    </w:p>
    <w:p>
      <w:pPr>
        <w:pStyle w:val="TextBody"/>
        <w:bidi w:val="0"/>
        <w:spacing w:before="45"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18"/>
        </w:rPr>
      </w:pPr>
      <w:r>
        <w:rPr>
          <w:rFonts w:ascii="Times New Roman" w:hAnsi="Times New Roman"/>
          <w:b/>
          <w:color w:val="000000"/>
          <w:sz w:val="18"/>
        </w:rPr>
        <w:t>Item 9. Undertakings.</w:t>
      </w:r>
    </w:p>
    <w:p>
      <w:pPr>
        <w:pStyle w:val="TextBody"/>
        <w:bidi w:val="0"/>
        <w:spacing w:before="13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30" w:after="283"/>
        <w:jc w:val="left"/>
        <w:rPr>
          <w:rFonts w:ascii="Times New Roman" w:hAnsi="Times New Roman"/>
          <w:color w:val="000000"/>
          <w:sz w:val="18"/>
        </w:rPr>
      </w:pPr>
      <w:r>
        <w:rPr>
          <w:rFonts w:ascii="Times New Roman" w:hAnsi="Times New Roman"/>
          <w:color w:val="000000"/>
          <w:sz w:val="18"/>
        </w:rPr>
        <w:t>The undersigned Registrant hereby undertakes:</w:t>
      </w:r>
    </w:p>
    <w:p>
      <w:pPr>
        <w:pStyle w:val="TextBody"/>
        <w:bidi w:val="0"/>
        <w:spacing w:before="131"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31" w:after="283"/>
        <w:jc w:val="left"/>
        <w:rPr>
          <w:rFonts w:ascii="Times New Roman" w:hAnsi="Times New Roman"/>
          <w:color w:val="000000"/>
          <w:sz w:val="18"/>
        </w:rPr>
      </w:pPr>
      <w:r>
        <w:rPr>
          <w:rFonts w:ascii="Times New Roman" w:hAnsi="Times New Roman"/>
          <w:color w:val="000000"/>
          <w:sz w:val="18"/>
        </w:rPr>
        <w:t>To file, during any period in which offers or sales are being made, a post-effective amendment to this Registration Statement,</w:t>
      </w:r>
    </w:p>
    <w:p>
      <w:pPr>
        <w:pStyle w:val="TextBody"/>
        <w:bidi w:val="0"/>
        <w:spacing w:before="130" w:after="283"/>
        <w:jc w:val="left"/>
        <w:rPr>
          <w:rFonts w:ascii="Times New Roman" w:hAnsi="Times New Roman"/>
          <w:color w:val="000000"/>
          <w:sz w:val="18"/>
        </w:rPr>
      </w:pPr>
      <w:r>
        <w:rPr>
          <w:rFonts w:ascii="Times New Roman" w:hAnsi="Times New Roman"/>
          <w:color w:val="000000"/>
          <w:sz w:val="18"/>
        </w:rPr>
        <w:t>(i)</w:t>
      </w:r>
    </w:p>
    <w:p>
      <w:pPr>
        <w:pStyle w:val="TextBody"/>
        <w:bidi w:val="0"/>
        <w:spacing w:before="130" w:after="283"/>
        <w:jc w:val="left"/>
        <w:rPr>
          <w:rFonts w:ascii="Times New Roman" w:hAnsi="Times New Roman"/>
          <w:color w:val="000000"/>
          <w:sz w:val="18"/>
        </w:rPr>
      </w:pPr>
      <w:r>
        <w:rPr>
          <w:rFonts w:ascii="Times New Roman" w:hAnsi="Times New Roman"/>
          <w:color w:val="000000"/>
          <w:sz w:val="18"/>
        </w:rPr>
        <w:t>to include any prospectus required by Section 10(a)(3) of the Securities Act;</w:t>
      </w:r>
    </w:p>
    <w:p>
      <w:pPr>
        <w:pStyle w:val="TextBody"/>
        <w:bidi w:val="0"/>
        <w:spacing w:before="131" w:after="283"/>
        <w:jc w:val="left"/>
        <w:rPr>
          <w:rFonts w:ascii="Times New Roman" w:hAnsi="Times New Roman"/>
          <w:color w:val="000000"/>
          <w:sz w:val="18"/>
        </w:rPr>
      </w:pPr>
      <w:r>
        <w:rPr>
          <w:rFonts w:ascii="Times New Roman" w:hAnsi="Times New Roman"/>
          <w:color w:val="000000"/>
          <w:sz w:val="18"/>
        </w:rPr>
        <w:t>(ii)</w:t>
      </w:r>
    </w:p>
    <w:p>
      <w:pPr>
        <w:pStyle w:val="TextBody"/>
        <w:bidi w:val="0"/>
        <w:spacing w:before="131" w:after="283"/>
        <w:jc w:val="left"/>
        <w:rPr>
          <w:rFonts w:ascii="Times New Roman" w:hAnsi="Times New Roman"/>
          <w:color w:val="000000"/>
          <w:sz w:val="18"/>
        </w:rPr>
      </w:pPr>
      <w:r>
        <w:rPr>
          <w:rFonts w:ascii="Times New Roman" w:hAnsi="Times New Roman"/>
          <w:color w:val="000000"/>
          <w:sz w:val="18"/>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127" w:after="283"/>
        <w:jc w:val="left"/>
        <w:rPr>
          <w:rFonts w:ascii="Times New Roman" w:hAnsi="Times New Roman"/>
          <w:color w:val="000000"/>
          <w:sz w:val="18"/>
        </w:rPr>
      </w:pPr>
      <w:r>
        <w:rPr>
          <w:rFonts w:ascii="Times New Roman" w:hAnsi="Times New Roman"/>
          <w:color w:val="000000"/>
          <w:sz w:val="18"/>
        </w:rPr>
        <w:t>(iii)</w:t>
      </w:r>
    </w:p>
    <w:p>
      <w:pPr>
        <w:pStyle w:val="TextBody"/>
        <w:bidi w:val="0"/>
        <w:spacing w:before="127" w:after="283"/>
        <w:jc w:val="left"/>
        <w:rPr>
          <w:rFonts w:ascii="Times New Roman" w:hAnsi="Times New Roman"/>
          <w:color w:val="000000"/>
          <w:sz w:val="18"/>
        </w:rPr>
      </w:pPr>
      <w:r>
        <w:rPr>
          <w:rFonts w:ascii="Times New Roman" w:hAnsi="Times New Roman"/>
          <w:color w:val="000000"/>
          <w:sz w:val="18"/>
        </w:rPr>
        <w:t xml:space="preserve">to include any material information with respect to the plan of distribution not previously disclosed in this Registration Statement or any material change to such information in the Registration Statement; </w:t>
      </w:r>
    </w:p>
    <w:p>
      <w:pPr>
        <w:pStyle w:val="TextBody"/>
        <w:bidi w:val="0"/>
        <w:spacing w:before="127" w:after="283"/>
        <w:jc w:val="left"/>
        <w:rPr>
          <w:rFonts w:ascii="Times New Roman" w:hAnsi="Times New Roman"/>
          <w:sz w:val="20"/>
        </w:rPr>
      </w:pPr>
      <w:r>
        <w:rPr>
          <w:rFonts w:ascii="Times New Roman" w:hAnsi="Times New Roman"/>
          <w:i/>
          <w:color w:val="000000"/>
          <w:sz w:val="18"/>
        </w:rPr>
        <w:t>provided, however</w:t>
      </w:r>
      <w:r>
        <w:rPr>
          <w:rFonts w:ascii="Times New Roman" w:hAnsi="Times New Roman"/>
          <w:color w:val="000000"/>
          <w:sz w:val="18"/>
        </w:rPr>
        <w:t>, that 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123"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3" w:after="283"/>
        <w:jc w:val="left"/>
        <w:rPr>
          <w:rFonts w:ascii="Times New Roman" w:hAnsi="Times New Roman"/>
          <w:color w:val="000000"/>
          <w:sz w:val="18"/>
        </w:rPr>
      </w:pPr>
      <w:r>
        <w:rPr>
          <w:rFonts w:ascii="Times New Roman" w:hAnsi="Times New Roman"/>
          <w:color w:val="000000"/>
          <w:sz w:val="18"/>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124"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4" w:after="283"/>
        <w:jc w:val="left"/>
        <w:rPr>
          <w:rFonts w:ascii="Times New Roman" w:hAnsi="Times New Roman"/>
          <w:color w:val="000000"/>
          <w:sz w:val="18"/>
        </w:rPr>
      </w:pPr>
      <w:r>
        <w:rPr>
          <w:rFonts w:ascii="Times New Roman" w:hAnsi="Times New Roman"/>
          <w:color w:val="000000"/>
          <w:sz w:val="18"/>
        </w:rPr>
        <w:t>To remove from registration by means of a post-effective amendment any of the securities being registered which remain unsold at the termination of the offering.</w:t>
      </w:r>
    </w:p>
    <w:p>
      <w:pPr>
        <w:pStyle w:val="TextBody"/>
        <w:bidi w:val="0"/>
        <w:spacing w:before="123"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3" w:after="283"/>
        <w:jc w:val="left"/>
        <w:rPr>
          <w:rFonts w:ascii="Times New Roman" w:hAnsi="Times New Roman"/>
          <w:color w:val="000000"/>
          <w:sz w:val="18"/>
        </w:rPr>
      </w:pPr>
      <w:r>
        <w:rPr>
          <w:rFonts w:ascii="Times New Roman" w:hAnsi="Times New Roman"/>
          <w:color w:val="000000"/>
          <w:sz w:val="18"/>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may, therefore, be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02" w:after="283"/>
        <w:jc w:val="center"/>
        <w:rPr>
          <w:rFonts w:ascii="Times New Roman" w:hAnsi="Times New Roman"/>
          <w:color w:val="000000"/>
          <w:sz w:val="18"/>
        </w:rPr>
      </w:pPr>
      <w:r>
        <w:rPr>
          <w:rFonts w:ascii="Times New Roman" w:hAnsi="Times New Roman"/>
          <w:color w:val="000000"/>
          <w:sz w:val="18"/>
        </w:rPr>
        <w:t>SIGNATURES</w:t>
      </w:r>
    </w:p>
    <w:p>
      <w:pPr>
        <w:pStyle w:val="TextBody"/>
        <w:bidi w:val="0"/>
        <w:spacing w:before="18"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Valencia, State of California, on August 25, 2026.</w:t>
      </w:r>
    </w:p>
    <w:p>
      <w:pPr>
        <w:pStyle w:val="TextBody"/>
        <w:bidi w:val="0"/>
        <w:spacing w:before="38" w:after="283"/>
        <w:jc w:val="left"/>
        <w:rPr/>
      </w:pPr>
      <w:r>
        <w:rPr/>
        <w:t> </w:t>
      </w:r>
    </w:p>
    <w:p>
      <w:pPr>
        <w:pStyle w:val="Heading1"/>
        <w:bidi w:val="0"/>
        <w:jc w:val="left"/>
        <w:rPr>
          <w:rFonts w:ascii="Times New Roman" w:hAnsi="Times New Roman"/>
          <w:color w:val="000000"/>
          <w:sz w:val="18"/>
        </w:rPr>
      </w:pPr>
      <w:r>
        <w:rPr>
          <w:rFonts w:ascii="Times New Roman" w:hAnsi="Times New Roman"/>
          <w:color w:val="000000"/>
          <w:sz w:val="18"/>
        </w:rPr>
        <w:t>AVITA MEDICAL, INC.</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283"/>
              <w:jc w:val="left"/>
              <w:rPr>
                <w:sz w:val="4"/>
                <w:szCs w:val="4"/>
              </w:rPr>
            </w:pPr>
            <w:r>
              <w:rPr>
                <w:sz w:val="4"/>
                <w:szCs w:val="4"/>
              </w:rPr>
            </w:r>
          </w:p>
        </w:tc>
      </w:tr>
      <w:tr>
        <w:trPr/>
        <w:tc>
          <w:tcPr>
            <w:tcW w:w="412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/s/ Cary Vance</w:t>
            </w:r>
          </w:p>
        </w:tc>
      </w:tr>
      <w:tr>
        <w:trPr/>
        <w:tc>
          <w:tcPr>
            <w:tcW w:w="41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Cary G. Vance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 and Director</w:t>
            </w:r>
          </w:p>
        </w:tc>
      </w:tr>
    </w:tbl>
    <w:p>
      <w:pPr>
        <w:pStyle w:val="Heading1"/>
        <w:bidi w:val="0"/>
        <w:spacing w:before="18" w:after="283"/>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SIGNATURES AND POWER OF ATTORNEY</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Each person whose signature appears below hereby constitutes and appoints Cary Vance and Nicole Kelsey,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15"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Pursuant to the requirements of the Securities Act of 1933, as amended, this Registration Statement has been signed by the following persons in the capacities and on the date indicated.</w:t>
      </w:r>
    </w:p>
    <w:p>
      <w:pPr>
        <w:pStyle w:val="TextBody"/>
        <w:bidi w:val="0"/>
        <w:jc w:val="left"/>
        <w:rPr/>
      </w:pPr>
      <w:r>
        <w:rPr/>
        <w:t> </w:t>
      </w:r>
    </w:p>
    <w:p>
      <w:pPr>
        <w:pStyle w:val="TextBody"/>
        <w:bidi w:val="0"/>
        <w:spacing w:before="2" w:after="283"/>
        <w:jc w:val="left"/>
        <w:rPr/>
      </w:pPr>
      <w:r>
        <w:rPr/>
        <w:t> </w:t>
      </w:r>
    </w:p>
    <w:tbl>
      <w:tblPr>
        <w:tblW w:w="6257" w:type="dxa"/>
        <w:jc w:val="left"/>
        <w:tblInd w:w="0" w:type="dxa"/>
        <w:tblLayout w:type="fixed"/>
        <w:tblCellMar>
          <w:top w:w="28" w:type="dxa"/>
          <w:left w:w="28" w:type="dxa"/>
          <w:bottom w:w="28" w:type="dxa"/>
          <w:right w:w="28" w:type="dxa"/>
        </w:tblCellMar>
      </w:tblPr>
      <w:tblGrid>
        <w:gridCol w:w="2146"/>
        <w:gridCol w:w="4111"/>
      </w:tblGrid>
      <w:tr>
        <w:trPr/>
        <w:tc>
          <w:tcPr>
            <w:tcW w:w="2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21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c>
          <w:tcPr>
            <w:tcW w:w="41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&amp; Chief Executive Officer and Director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G. Vance</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c>
          <w:tcPr>
            <w:tcW w:w="41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Jan Stern Reed</w:t>
            </w:r>
          </w:p>
        </w:tc>
        <w:tc>
          <w:tcPr>
            <w:tcW w:w="41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2" w:space="0" w:color="000000"/>
            </w:tcBorders>
            <w:tcMar>
              <w:top w:w="0" w:type="dxa"/>
              <w:left w:w="0" w:type="dxa"/>
              <w:right w:w="0" w:type="dxa"/>
            </w:tcMar>
            <w:vAlign w:val="center"/>
          </w:tcPr>
          <w:p>
            <w:pPr>
              <w:pStyle w:val="TableContents"/>
              <w:bidi w:val="0"/>
              <w:spacing w:before="92" w:after="283"/>
              <w:jc w:val="left"/>
              <w:rPr>
                <w:rFonts w:ascii="Times New Roman" w:hAnsi="Times New Roman"/>
                <w:sz w:val="20"/>
              </w:rPr>
            </w:pPr>
            <w:r>
              <w:rPr>
                <w:rFonts w:ascii="Times New Roman" w:hAnsi="Times New Roman"/>
                <w:color w:val="000000"/>
                <w:sz w:val="18"/>
              </w:rPr>
              <w:t>/s/</w:t>
            </w:r>
            <w:r>
              <w:rPr>
                <w:rFonts w:ascii="Times New Roman" w:hAnsi="Times New Roman"/>
                <w:color w:val="000000"/>
                <w:sz w:val="20"/>
              </w:rPr>
              <w:t> Jeremy Curnock Cook</w:t>
            </w:r>
          </w:p>
        </w:tc>
        <w:tc>
          <w:tcPr>
            <w:tcW w:w="41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2" w:space="0" w:color="000000"/>
            </w:tcBorders>
            <w:tcMar>
              <w:top w:w="0" w:type="dxa"/>
              <w:left w:w="0" w:type="dxa"/>
              <w:right w:w="0" w:type="dxa"/>
            </w:tcMar>
            <w:vAlign w:val="center"/>
          </w:tcPr>
          <w:p>
            <w:pPr>
              <w:pStyle w:val="TableContents"/>
              <w:bidi w:val="0"/>
              <w:spacing w:before="92" w:after="283"/>
              <w:jc w:val="left"/>
              <w:rPr>
                <w:rFonts w:ascii="Times New Roman" w:hAnsi="Times New Roman"/>
                <w:sz w:val="20"/>
              </w:rPr>
            </w:pPr>
            <w:r>
              <w:rPr>
                <w:rFonts w:ascii="Times New Roman" w:hAnsi="Times New Roman"/>
                <w:color w:val="000000"/>
                <w:sz w:val="18"/>
              </w:rPr>
              <w:t xml:space="preserve">/s/ </w:t>
            </w:r>
            <w:r>
              <w:rPr>
                <w:rFonts w:ascii="Times New Roman" w:hAnsi="Times New Roman"/>
                <w:color w:val="000000"/>
                <w:sz w:val="20"/>
              </w:rPr>
              <w:t>Suzanne Crowe</w:t>
            </w:r>
          </w:p>
        </w:tc>
        <w:tc>
          <w:tcPr>
            <w:tcW w:w="41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Suzanne Crowe</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McNamara</w:t>
            </w:r>
          </w:p>
        </w:tc>
        <w:tc>
          <w:tcPr>
            <w:tcW w:w="41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Dr. Michael Tarnoff</w:t>
            </w:r>
          </w:p>
        </w:tc>
        <w:tc>
          <w:tcPr>
            <w:tcW w:w="411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Michael Tarnoff</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Joseph Woody</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Joseph Woody</w:t>
            </w:r>
          </w:p>
        </w:tc>
        <w:tc>
          <w:tcPr>
            <w:tcW w:w="41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93"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rcel-ex5_1.htm"/>
      <w:bookmarkStart w:id="3" w:name="ksrcelex5_1"/>
      <w:bookmarkEnd w:id="2"/>
      <w:bookmarkEnd w:id="3"/>
      <w:r>
        <w:rPr>
          <w:rFonts w:ascii="Times New Roman" w:hAnsi="Times New Roman"/>
          <w:b/>
          <w:color w:val="000000"/>
          <w:sz w:val="22"/>
        </w:rPr>
        <w:t>Exhibit 5.1</w:t>
      </w:r>
      <w:r>
        <w:br w:type="page"/>
      </w:r>
    </w:p>
    <w:p>
      <w:pPr>
        <w:pStyle w:val="TextBody"/>
        <w:bidi w:val="0"/>
        <w:jc w:val="right"/>
        <w:rPr/>
      </w:pPr>
      <w:r>
        <w:rPr/>
        <w:t> </w:t>
      </w:r>
    </w:p>
    <w:p>
      <w:pPr>
        <w:pStyle w:val="TextBody"/>
        <w:bidi w:val="0"/>
        <w:jc w:val="both"/>
        <w:rPr>
          <w:rFonts w:ascii="Arial" w:hAnsi="Arial"/>
          <w:color w:val="000000"/>
          <w:sz w:val="14"/>
        </w:rPr>
      </w:pPr>
      <w:r>
        <w:rPr>
          <w:rFonts w:ascii="Arial" w:hAnsi="Arial"/>
          <w:color w:val="000000"/>
          <w:sz w:val="14"/>
        </w:rPr>
        <w:t>650 Town Center Drive, 20th Floor</w:t>
      </w:r>
    </w:p>
    <w:p>
      <w:pPr>
        <w:pStyle w:val="TextBody"/>
        <w:bidi w:val="0"/>
        <w:jc w:val="both"/>
        <w:rPr>
          <w:rFonts w:ascii="Arial" w:hAnsi="Arial"/>
          <w:color w:val="000000"/>
          <w:sz w:val="14"/>
        </w:rPr>
      </w:pPr>
      <w:r>
        <w:rPr>
          <w:rFonts w:ascii="Arial" w:hAnsi="Arial"/>
          <w:color w:val="000000"/>
          <w:sz w:val="14"/>
        </w:rPr>
        <w:t>Costa Mesa, California 92626-1925</w:t>
      </w:r>
    </w:p>
    <w:p>
      <w:pPr>
        <w:pStyle w:val="TextBody"/>
        <w:bidi w:val="0"/>
        <w:jc w:val="both"/>
        <w:rPr>
          <w:rFonts w:ascii="Arial" w:hAnsi="Arial"/>
          <w:color w:val="000000"/>
          <w:sz w:val="14"/>
        </w:rPr>
      </w:pPr>
      <w:r>
        <w:rPr>
          <w:rFonts w:ascii="Arial" w:hAnsi="Arial"/>
          <w:color w:val="000000"/>
          <w:sz w:val="14"/>
        </w:rPr>
        <w:t>Tel: +1.714.540.1235 Fax: +1.714.755.8290</w:t>
      </w:r>
    </w:p>
    <w:p>
      <w:pPr>
        <w:pStyle w:val="TextBody"/>
        <w:bidi w:val="0"/>
        <w:jc w:val="both"/>
        <w:rPr>
          <w:rFonts w:ascii="Arial" w:hAnsi="Arial"/>
          <w:color w:val="000000"/>
          <w:sz w:val="14"/>
        </w:rPr>
      </w:pPr>
      <w:r>
        <w:rPr>
          <w:rFonts w:ascii="Arial" w:hAnsi="Arial"/>
          <w:color w:val="000000"/>
          <w:sz w:val="14"/>
        </w:rPr>
        <w:t>www.lw.com</w:t>
      </w:r>
    </w:p>
    <w:p>
      <w:pPr>
        <w:pStyle w:val="TextBody"/>
        <w:bidi w:val="0"/>
        <w:jc w:val="left"/>
        <w:rPr/>
      </w:pPr>
      <w:r>
        <w:rPr/>
        <w:drawing>
          <wp:inline distT="0" distB="0" distL="0" distR="0">
            <wp:extent cx="2257425"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2257425" cy="152400"/>
                    </a:xfrm>
                    <a:prstGeom prst="rect">
                      <a:avLst/>
                    </a:prstGeom>
                  </pic:spPr>
                </pic:pic>
              </a:graphicData>
            </a:graphic>
          </wp:inline>
        </w:drawing>
      </w:r>
    </w:p>
    <w:p>
      <w:pPr>
        <w:pStyle w:val="TextBody"/>
        <w:bidi w:val="0"/>
        <w:jc w:val="left"/>
        <w:rPr>
          <w:rFonts w:ascii="Arial" w:hAnsi="Arial"/>
          <w:color w:val="000000"/>
          <w:sz w:val="14"/>
        </w:rPr>
      </w:pPr>
      <w:r>
        <w:rPr>
          <w:rFonts w:ascii="Arial" w:hAnsi="Arial"/>
          <w:color w:val="000000"/>
          <w:sz w:val="14"/>
        </w:rPr>
        <w:t>FIRM / AFFILIATE OFFICES</w:t>
      </w:r>
    </w:p>
    <w:p>
      <w:pPr>
        <w:pStyle w:val="TextBody"/>
        <w:bidi w:val="0"/>
        <w:jc w:val="both"/>
        <w:rPr>
          <w:rFonts w:ascii="Arial" w:hAnsi="Arial"/>
          <w:color w:val="000000"/>
          <w:sz w:val="14"/>
        </w:rPr>
      </w:pPr>
      <w:r>
        <w:rPr>
          <w:rFonts w:ascii="Arial" w:hAnsi="Arial"/>
          <w:color w:val="000000"/>
          <w:sz w:val="14"/>
        </w:rPr>
        <w:t>Austin Milan</w:t>
      </w:r>
    </w:p>
    <w:p>
      <w:pPr>
        <w:pStyle w:val="TextBody"/>
        <w:bidi w:val="0"/>
        <w:jc w:val="both"/>
        <w:rPr>
          <w:rFonts w:ascii="Arial" w:hAnsi="Arial"/>
          <w:color w:val="000000"/>
          <w:sz w:val="14"/>
        </w:rPr>
      </w:pPr>
      <w:r>
        <w:rPr>
          <w:rFonts w:ascii="Arial" w:hAnsi="Arial"/>
          <w:color w:val="000000"/>
          <w:sz w:val="14"/>
        </w:rPr>
        <w:t>Beijing Munich</w:t>
      </w:r>
    </w:p>
    <w:p>
      <w:pPr>
        <w:pStyle w:val="TextBody"/>
        <w:bidi w:val="0"/>
        <w:jc w:val="both"/>
        <w:rPr>
          <w:rFonts w:ascii="Arial" w:hAnsi="Arial"/>
          <w:color w:val="000000"/>
          <w:sz w:val="14"/>
        </w:rPr>
      </w:pPr>
      <w:r>
        <w:rPr>
          <w:rFonts w:ascii="Arial" w:hAnsi="Arial"/>
          <w:color w:val="000000"/>
          <w:sz w:val="14"/>
        </w:rPr>
        <w:t>Boston New York</w:t>
      </w:r>
    </w:p>
    <w:p>
      <w:pPr>
        <w:pStyle w:val="TextBody"/>
        <w:bidi w:val="0"/>
        <w:jc w:val="both"/>
        <w:rPr>
          <w:rFonts w:ascii="Arial" w:hAnsi="Arial"/>
          <w:color w:val="000000"/>
          <w:sz w:val="14"/>
        </w:rPr>
      </w:pPr>
      <w:r>
        <w:rPr>
          <w:rFonts w:ascii="Arial" w:hAnsi="Arial"/>
          <w:color w:val="000000"/>
          <w:sz w:val="14"/>
        </w:rPr>
        <w:t>Brussels Orange County</w:t>
      </w:r>
    </w:p>
    <w:p>
      <w:pPr>
        <w:pStyle w:val="TextBody"/>
        <w:bidi w:val="0"/>
        <w:jc w:val="both"/>
        <w:rPr>
          <w:rFonts w:ascii="Arial" w:hAnsi="Arial"/>
          <w:color w:val="000000"/>
          <w:sz w:val="14"/>
        </w:rPr>
      </w:pPr>
      <w:r>
        <w:rPr>
          <w:rFonts w:ascii="Arial" w:hAnsi="Arial"/>
          <w:color w:val="000000"/>
          <w:sz w:val="14"/>
        </w:rPr>
        <w:t>Chicago Paris</w:t>
      </w:r>
    </w:p>
    <w:p>
      <w:pPr>
        <w:pStyle w:val="TextBody"/>
        <w:bidi w:val="0"/>
        <w:jc w:val="both"/>
        <w:rPr>
          <w:rFonts w:ascii="Arial" w:hAnsi="Arial"/>
          <w:color w:val="000000"/>
          <w:sz w:val="14"/>
        </w:rPr>
      </w:pPr>
      <w:r>
        <w:rPr>
          <w:rFonts w:ascii="Arial" w:hAnsi="Arial"/>
          <w:color w:val="000000"/>
          <w:sz w:val="14"/>
        </w:rPr>
        <w:t>Dubai Riyadh</w:t>
      </w:r>
    </w:p>
    <w:p>
      <w:pPr>
        <w:pStyle w:val="TextBody"/>
        <w:bidi w:val="0"/>
        <w:jc w:val="both"/>
        <w:rPr>
          <w:rFonts w:ascii="Arial" w:hAnsi="Arial"/>
          <w:color w:val="000000"/>
          <w:sz w:val="14"/>
        </w:rPr>
      </w:pPr>
      <w:r>
        <w:rPr>
          <w:rFonts w:ascii="Arial" w:hAnsi="Arial"/>
          <w:color w:val="000000"/>
          <w:sz w:val="14"/>
        </w:rPr>
        <w:t>Düsseldorf San Diego</w:t>
      </w:r>
    </w:p>
    <w:p>
      <w:pPr>
        <w:pStyle w:val="TextBody"/>
        <w:bidi w:val="0"/>
        <w:jc w:val="both"/>
        <w:rPr>
          <w:rFonts w:ascii="Arial" w:hAnsi="Arial"/>
          <w:color w:val="000000"/>
          <w:sz w:val="14"/>
        </w:rPr>
      </w:pPr>
      <w:r>
        <w:rPr>
          <w:rFonts w:ascii="Arial" w:hAnsi="Arial"/>
          <w:color w:val="000000"/>
          <w:sz w:val="14"/>
        </w:rPr>
        <w:t>Frankfurt San Francisco</w:t>
      </w:r>
    </w:p>
    <w:p>
      <w:pPr>
        <w:pStyle w:val="TextBody"/>
        <w:bidi w:val="0"/>
        <w:jc w:val="both"/>
        <w:rPr>
          <w:rFonts w:ascii="Arial" w:hAnsi="Arial"/>
          <w:color w:val="000000"/>
          <w:sz w:val="14"/>
        </w:rPr>
      </w:pPr>
      <w:r>
        <w:rPr>
          <w:rFonts w:ascii="Arial" w:hAnsi="Arial"/>
          <w:color w:val="000000"/>
          <w:sz w:val="14"/>
        </w:rPr>
        <w:t>Hamburg Seoul</w:t>
      </w:r>
    </w:p>
    <w:p>
      <w:pPr>
        <w:pStyle w:val="TextBody"/>
        <w:bidi w:val="0"/>
        <w:jc w:val="both"/>
        <w:rPr>
          <w:rFonts w:ascii="Arial" w:hAnsi="Arial"/>
          <w:color w:val="000000"/>
          <w:sz w:val="14"/>
        </w:rPr>
      </w:pPr>
      <w:r>
        <w:rPr>
          <w:rFonts w:ascii="Arial" w:hAnsi="Arial"/>
          <w:color w:val="000000"/>
          <w:sz w:val="14"/>
        </w:rPr>
        <w:t>Hong Kong Silicon Valley</w:t>
      </w:r>
    </w:p>
    <w:p>
      <w:pPr>
        <w:pStyle w:val="TextBody"/>
        <w:bidi w:val="0"/>
        <w:jc w:val="both"/>
        <w:rPr>
          <w:rFonts w:ascii="Arial" w:hAnsi="Arial"/>
          <w:color w:val="000000"/>
          <w:sz w:val="14"/>
        </w:rPr>
      </w:pPr>
      <w:r>
        <w:rPr>
          <w:rFonts w:ascii="Arial" w:hAnsi="Arial"/>
          <w:color w:val="000000"/>
          <w:sz w:val="14"/>
        </w:rPr>
        <w:t>Houston Singapore</w:t>
      </w:r>
    </w:p>
    <w:p>
      <w:pPr>
        <w:pStyle w:val="TextBody"/>
        <w:bidi w:val="0"/>
        <w:jc w:val="both"/>
        <w:rPr>
          <w:rFonts w:ascii="Arial" w:hAnsi="Arial"/>
          <w:color w:val="000000"/>
          <w:sz w:val="14"/>
        </w:rPr>
      </w:pPr>
      <w:r>
        <w:rPr>
          <w:rFonts w:ascii="Arial" w:hAnsi="Arial"/>
          <w:color w:val="000000"/>
          <w:sz w:val="14"/>
        </w:rPr>
        <w:t>London Tel Aviv</w:t>
      </w:r>
    </w:p>
    <w:p>
      <w:pPr>
        <w:pStyle w:val="TextBody"/>
        <w:bidi w:val="0"/>
        <w:jc w:val="both"/>
        <w:rPr>
          <w:rFonts w:ascii="Arial" w:hAnsi="Arial"/>
          <w:color w:val="000000"/>
          <w:sz w:val="14"/>
        </w:rPr>
      </w:pPr>
      <w:r>
        <w:rPr>
          <w:rFonts w:ascii="Arial" w:hAnsi="Arial"/>
          <w:color w:val="000000"/>
          <w:sz w:val="14"/>
        </w:rPr>
        <w:t>Los Angeles Tokyo</w:t>
      </w:r>
    </w:p>
    <w:p>
      <w:pPr>
        <w:pStyle w:val="TextBody"/>
        <w:bidi w:val="0"/>
        <w:jc w:val="both"/>
        <w:rPr>
          <w:rFonts w:ascii="Arial" w:hAnsi="Arial"/>
          <w:color w:val="000000"/>
          <w:sz w:val="14"/>
        </w:rPr>
      </w:pPr>
      <w:r>
        <w:rPr>
          <w:rFonts w:ascii="Arial" w:hAnsi="Arial"/>
          <w:color w:val="000000"/>
          <w:sz w:val="14"/>
        </w:rPr>
        <w:t>Madrid Washington, D.C.</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August 25,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AVITA Medical, Inc.</w:t>
      </w:r>
    </w:p>
    <w:p>
      <w:pPr>
        <w:pStyle w:val="TextBody"/>
        <w:bidi w:val="0"/>
        <w:jc w:val="left"/>
        <w:rPr>
          <w:rFonts w:ascii="Times New Roman" w:hAnsi="Times New Roman"/>
          <w:color w:val="000000"/>
          <w:sz w:val="24"/>
        </w:rPr>
      </w:pPr>
      <w:r>
        <w:rPr>
          <w:rFonts w:ascii="Times New Roman" w:hAnsi="Times New Roman"/>
          <w:color w:val="000000"/>
          <w:sz w:val="24"/>
        </w:rPr>
        <w:t>28159 Avenue Stanford, Suite 220</w:t>
      </w:r>
    </w:p>
    <w:p>
      <w:pPr>
        <w:pStyle w:val="TextBody"/>
        <w:bidi w:val="0"/>
        <w:jc w:val="left"/>
        <w:rPr>
          <w:rFonts w:ascii="Times New Roman" w:hAnsi="Times New Roman"/>
          <w:color w:val="000000"/>
          <w:sz w:val="24"/>
        </w:rPr>
      </w:pPr>
      <w:r>
        <w:rPr>
          <w:rFonts w:ascii="Times New Roman" w:hAnsi="Times New Roman"/>
          <w:color w:val="000000"/>
          <w:sz w:val="24"/>
        </w:rPr>
        <w:t>Valencia, California, 91355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Re:</w:t>
      </w:r>
      <w:r>
        <w:rPr>
          <w:rFonts w:ascii="Times New Roman" w:hAnsi="Times New Roman"/>
          <w:color w:val="000000"/>
          <w:sz w:val="20"/>
        </w:rPr>
        <w:t xml:space="preserve"> </w:t>
      </w:r>
      <w:r>
        <w:rPr>
          <w:rFonts w:ascii="Times New Roman" w:hAnsi="Times New Roman"/>
          <w:color w:val="000000"/>
          <w:sz w:val="24"/>
          <w:u w:val="single"/>
        </w:rPr>
        <w:t>Registration Statement on Form S-8;</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345,388 Shares of Common Stock, par value $0.0001 per share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the addressee set forth above:</w:t>
      </w:r>
    </w:p>
    <w:p>
      <w:pPr>
        <w:pStyle w:val="TextBody"/>
        <w:bidi w:val="0"/>
        <w:spacing w:before="0" w:after="240"/>
        <w:jc w:val="both"/>
        <w:rPr>
          <w:rFonts w:ascii="Times New Roman" w:hAnsi="Times New Roman"/>
          <w:sz w:val="20"/>
        </w:rPr>
      </w:pPr>
      <w:r>
        <w:rPr>
          <w:rFonts w:ascii="Times New Roman" w:hAnsi="Times New Roman"/>
          <w:color w:val="000000"/>
          <w:sz w:val="24"/>
        </w:rPr>
        <w:t>We have acted as special counsel to AVITA Medical, Inc.,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in connection with the proposed issuance of an aggregate of 345,388 shares of common stock (the “</w:t>
      </w:r>
      <w:r>
        <w:rPr>
          <w:rFonts w:ascii="Times New Roman" w:hAnsi="Times New Roman"/>
          <w:b/>
          <w:i/>
          <w:color w:val="000000"/>
          <w:sz w:val="24"/>
        </w:rPr>
        <w:t>Shares</w:t>
      </w:r>
      <w:r>
        <w:rPr>
          <w:rFonts w:ascii="Times New Roman" w:hAnsi="Times New Roman"/>
          <w:color w:val="000000"/>
          <w:sz w:val="20"/>
        </w:rPr>
        <w:t>”</w:t>
      </w:r>
      <w:r>
        <w:rPr>
          <w:rFonts w:ascii="Times New Roman" w:hAnsi="Times New Roman"/>
          <w:color w:val="000000"/>
          <w:sz w:val="24"/>
        </w:rPr>
        <w:t>) that are issuable upon the exercise of 145,307 stock options and the vesting of 200,081 restricted stock units (“</w:t>
      </w:r>
      <w:r>
        <w:rPr>
          <w:rFonts w:ascii="Times New Roman" w:hAnsi="Times New Roman"/>
          <w:b/>
          <w:i/>
          <w:color w:val="000000"/>
          <w:sz w:val="24"/>
        </w:rPr>
        <w:t>RSUs</w:t>
      </w:r>
      <w:r>
        <w:rPr>
          <w:rFonts w:ascii="Times New Roman" w:hAnsi="Times New Roman"/>
          <w:color w:val="000000"/>
          <w:sz w:val="20"/>
        </w:rPr>
        <w:t>”</w:t>
      </w:r>
      <w:r>
        <w:rPr>
          <w:rFonts w:ascii="Times New Roman" w:hAnsi="Times New Roman"/>
          <w:color w:val="000000"/>
          <w:sz w:val="24"/>
        </w:rPr>
        <w:t>) granted pursuant to certain individual stock option award and RSU award agreements. The Shares are included in a registration statement on Form S–8 under the Securities Act of 1933, as amended (the “</w:t>
      </w:r>
      <w:r>
        <w:rPr>
          <w:rFonts w:ascii="Times New Roman" w:hAnsi="Times New Roman"/>
          <w:b/>
          <w:i/>
          <w:color w:val="000000"/>
          <w:sz w:val="24"/>
        </w:rPr>
        <w:t>Act</w:t>
      </w:r>
      <w:r>
        <w:rPr>
          <w:rFonts w:ascii="Times New Roman" w:hAnsi="Times New Roman"/>
          <w:color w:val="000000"/>
          <w:sz w:val="20"/>
        </w:rPr>
        <w:t>”</w:t>
      </w:r>
      <w:r>
        <w:rPr>
          <w:rFonts w:ascii="Times New Roman" w:hAnsi="Times New Roman"/>
          <w:color w:val="000000"/>
          <w:sz w:val="24"/>
        </w:rPr>
        <w:t>), filed with the Securities and Exchange Commission (the “</w:t>
      </w:r>
      <w:r>
        <w:rPr>
          <w:rFonts w:ascii="Times New Roman" w:hAnsi="Times New Roman"/>
          <w:b/>
          <w:i/>
          <w:color w:val="000000"/>
          <w:sz w:val="24"/>
        </w:rPr>
        <w:t>Commission</w:t>
      </w:r>
      <w:r>
        <w:rPr>
          <w:rFonts w:ascii="Times New Roman" w:hAnsi="Times New Roman"/>
          <w:color w:val="000000"/>
          <w:sz w:val="20"/>
        </w:rPr>
        <w:t>”</w:t>
      </w:r>
      <w:r>
        <w:rPr>
          <w:rFonts w:ascii="Times New Roman" w:hAnsi="Times New Roman"/>
          <w:color w:val="000000"/>
          <w:sz w:val="24"/>
        </w:rPr>
        <w:t>) on August 25, 2026 (the “</w:t>
      </w:r>
      <w:r>
        <w:rPr>
          <w:rFonts w:ascii="Times New Roman" w:hAnsi="Times New Roman"/>
          <w:b/>
          <w:i/>
          <w:color w:val="000000"/>
          <w:sz w:val="24"/>
        </w:rPr>
        <w:t>Registration Statement</w:t>
      </w:r>
      <w:r>
        <w:rPr>
          <w:rFonts w:ascii="Times New Roman" w:hAnsi="Times New Roman"/>
          <w:color w:val="000000"/>
          <w:sz w:val="20"/>
        </w:rPr>
        <w:t>”</w:t>
      </w:r>
      <w:r>
        <w:rPr>
          <w:rFonts w:ascii="Times New Roman" w:hAnsi="Times New Roman"/>
          <w:color w:val="000000"/>
          <w:sz w:val="24"/>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Shares.</w:t>
      </w:r>
    </w:p>
    <w:p>
      <w:pPr>
        <w:pStyle w:val="TextBody"/>
        <w:bidi w:val="0"/>
        <w:spacing w:before="180" w:after="120"/>
        <w:jc w:val="left"/>
        <w:rPr/>
      </w:pPr>
      <w:r>
        <w:rPr/>
        <w:t> </w:t>
      </w:r>
    </w:p>
    <w:p>
      <w:pPr>
        <w:pStyle w:val="HorizontalLine"/>
        <w:pBdr>
          <w:bottom w:val="double" w:sz="2" w:space="0" w:color="808080"/>
        </w:pBdr>
        <w:bidi w:val="0"/>
        <w:spacing w:before="0" w:after="283"/>
        <w:jc w:val="left"/>
        <w:rPr/>
      </w:pPr>
      <w:r>
        <w:rPr/>
      </w:r>
    </w:p>
    <w:tbl>
      <w:tblPr>
        <w:tblW w:w="1186" w:type="dxa"/>
        <w:jc w:val="left"/>
        <w:tblInd w:w="0" w:type="dxa"/>
        <w:tblLayout w:type="fixed"/>
        <w:tblCellMar>
          <w:top w:w="28" w:type="dxa"/>
          <w:left w:w="28" w:type="dxa"/>
          <w:bottom w:w="28" w:type="dxa"/>
          <w:right w:w="28" w:type="dxa"/>
        </w:tblCellMar>
      </w:tblPr>
      <w:tblGrid>
        <w:gridCol w:w="1186"/>
      </w:tblGrid>
      <w:tr>
        <w:trPr/>
        <w:tc>
          <w:tcPr>
            <w:tcW w:w="118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jc w:val="left"/>
              <w:rPr>
                <w:rFonts w:ascii="Arial" w:hAnsi="Arial"/>
                <w:b/>
                <w:color w:val="000000"/>
                <w:sz w:val="14"/>
              </w:rPr>
            </w:pPr>
            <w:r>
              <w:rPr>
                <w:rFonts w:ascii="Arial" w:hAnsi="Arial"/>
                <w:b/>
                <w:color w:val="000000"/>
                <w:sz w:val="14"/>
              </w:rPr>
              <w:t>August 20, 2026</w:t>
            </w:r>
          </w:p>
          <w:p>
            <w:pPr>
              <w:pStyle w:val="TableContents"/>
              <w:bidi w:val="0"/>
              <w:spacing w:before="0" w:after="283"/>
              <w:jc w:val="left"/>
              <w:rPr>
                <w:rFonts w:ascii="Arial" w:hAnsi="Arial"/>
                <w:b/>
                <w:color w:val="000000"/>
                <w:sz w:val="14"/>
              </w:rPr>
            </w:pPr>
            <w:r>
              <w:rPr>
                <w:rFonts w:ascii="Arial" w:hAnsi="Arial"/>
                <w:b/>
                <w:color w:val="000000"/>
                <w:sz w:val="14"/>
              </w:rPr>
              <w:t>Page 2</w:t>
            </w:r>
          </w:p>
        </w:tc>
      </w:tr>
    </w:tbl>
    <w:p>
      <w:pPr>
        <w:pStyle w:val="TextBody"/>
        <w:bidi w:val="0"/>
        <w:spacing w:before="113" w:after="360"/>
        <w:jc w:val="left"/>
        <w:rPr/>
      </w:pPr>
      <w:r>
        <w:rPr/>
        <w:drawing>
          <wp:inline distT="0" distB="0" distL="0" distR="0">
            <wp:extent cx="1543050" cy="9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1543050" cy="95250"/>
                    </a:xfrm>
                    <a:prstGeom prst="rect">
                      <a:avLst/>
                    </a:prstGeom>
                  </pic:spPr>
                </pic:pic>
              </a:graphicData>
            </a:graphic>
          </wp:inline>
        </w:drawing>
      </w:r>
    </w:p>
    <w:p>
      <w:pPr>
        <w:pStyle w:val="TextBody"/>
        <w:bidi w:val="0"/>
        <w:spacing w:before="0" w:after="240"/>
        <w:jc w:val="both"/>
        <w:rPr>
          <w:rFonts w:ascii="Times New Roman" w:hAnsi="Times New Roman"/>
          <w:sz w:val="20"/>
        </w:rPr>
      </w:pPr>
      <w:r>
        <w:rPr>
          <w:rFonts w:ascii="Times New Roman" w:hAnsi="Times New Roman"/>
          <w:color w:val="000000"/>
          <w:sz w:val="24"/>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only as to the General Corporation Law of the State of Delaware (the “</w:t>
      </w:r>
      <w:r>
        <w:rPr>
          <w:rFonts w:ascii="Times New Roman" w:hAnsi="Times New Roman"/>
          <w:b/>
          <w:i/>
          <w:color w:val="000000"/>
          <w:sz w:val="24"/>
        </w:rPr>
        <w:t>DGCL</w:t>
      </w:r>
      <w:r>
        <w:rPr>
          <w:rFonts w:ascii="Times New Roman" w:hAnsi="Times New Roman"/>
          <w:color w:val="000000"/>
          <w:sz w:val="20"/>
        </w:rPr>
        <w:t>”</w:t>
      </w:r>
      <w:r>
        <w:rPr>
          <w:rFonts w:ascii="Times New Roman" w:hAnsi="Times New Roman"/>
          <w:color w:val="000000"/>
          <w:sz w:val="24"/>
        </w:rPr>
        <w:t>), and we express no opinion with respect to any other laws.</w:t>
      </w:r>
    </w:p>
    <w:p>
      <w:pPr>
        <w:pStyle w:val="TextBody"/>
        <w:bidi w:val="0"/>
        <w:spacing w:before="0" w:after="240"/>
        <w:jc w:val="both"/>
        <w:rPr>
          <w:rFonts w:ascii="Times New Roman" w:hAnsi="Times New Roman"/>
          <w:sz w:val="20"/>
        </w:rPr>
      </w:pPr>
      <w:r>
        <w:rPr>
          <w:rFonts w:ascii="Times New Roman" w:hAnsi="Times New Roman"/>
          <w:color w:val="000000"/>
          <w:sz w:val="24"/>
        </w:rPr>
        <w:t>Subject to the foregoing and the other matters set forth herein, it is our opinion that, as of the date hereof, when the Shares shall have been duly registered on the books of the transfer agent and registrar therefor in the name or on behalf of the recipients and have been issued by the Company for legal consideration of not less than par value in the circumstances contemplated by the individual stock option award and RSU award agreements, the issuance and sale of the Shares will have been duly authorized by all necessary corporate action of the Company, and such Shares will be validly issued, fully paid, and nonassessable. In rendering the foregoing opinion, we have assumed that the Company will comply with all applicable notice requirements regarding uncertificated shares provided in the DGCL.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jc w:val="left"/>
        <w:rPr>
          <w:rFonts w:ascii="Times New Roman" w:hAnsi="Times New Roman"/>
          <w:sz w:val="20"/>
        </w:rPr>
      </w:pPr>
      <w:r>
        <w:rPr>
          <w:rFonts w:ascii="Times New Roman" w:hAnsi="Times New Roman"/>
          <w:color w:val="000000"/>
          <w:sz w:val="24"/>
        </w:rPr>
        <w:t>Sincerely,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Latham &amp; Watkins LLP</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rcel-ex23_1.htm"/>
      <w:bookmarkStart w:id="5" w:name="ksrcelex23_1"/>
      <w:bookmarkEnd w:id="4"/>
      <w:bookmarkEnd w:id="5"/>
      <w:r>
        <w:rPr/>
        <w:t> </w:t>
      </w:r>
      <w:r>
        <w:br w:type="page"/>
      </w:r>
    </w:p>
    <w:p>
      <w:pPr>
        <w:pStyle w:val="TextBody"/>
        <w:bidi w:val="0"/>
        <w:spacing w:before="18" w:after="283"/>
        <w:jc w:val="right"/>
        <w:rPr>
          <w:rFonts w:ascii="Times New Roman" w:hAnsi="Times New Roman"/>
          <w:b/>
          <w:color w:val="000000"/>
          <w:sz w:val="18"/>
        </w:rPr>
      </w:pPr>
      <w:r>
        <w:rPr>
          <w:rFonts w:ascii="Times New Roman" w:hAnsi="Times New Roman"/>
          <w:b/>
          <w:color w:val="000000"/>
          <w:sz w:val="18"/>
        </w:rPr>
        <w:t>Exhibit 23.1</w:t>
      </w:r>
    </w:p>
    <w:p>
      <w:pPr>
        <w:pStyle w:val="Heading1"/>
        <w:bidi w:val="0"/>
        <w:jc w:val="center"/>
        <w:rPr/>
      </w:pPr>
      <w:r>
        <w:rPr/>
        <w:t> </w:t>
      </w:r>
    </w:p>
    <w:p>
      <w:pPr>
        <w:pStyle w:val="Heading1"/>
        <w:bidi w:val="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spacing w:before="18" w:after="283"/>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issued our report dated February 12, 2026 with respect to the consolidated financial statements of AVITA Medical, Inc. included in the Annual Report on Form 10-K for the year ended December 31, 2025, which are incorporated by reference in this Registration Statement. We consent to the incorporation by reference of the aforementioned report in this Registration Statement.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 GRANT THORNTON LLP</w:t>
      </w:r>
    </w:p>
    <w:p>
      <w:pPr>
        <w:pStyle w:val="TextBody"/>
        <w:bidi w:val="0"/>
        <w:jc w:val="left"/>
        <w:rPr>
          <w:rFonts w:ascii="Times New Roman" w:hAnsi="Times New Roman"/>
          <w:color w:val="000000"/>
          <w:sz w:val="20"/>
        </w:rPr>
      </w:pPr>
      <w:r>
        <w:rPr>
          <w:rFonts w:ascii="Times New Roman" w:hAnsi="Times New Roman"/>
          <w:color w:val="000000"/>
          <w:sz w:val="20"/>
        </w:rPr>
        <w:t>Newport Beach, California</w:t>
      </w:r>
    </w:p>
    <w:p>
      <w:pPr>
        <w:pStyle w:val="TextBody"/>
        <w:bidi w:val="0"/>
        <w:jc w:val="left"/>
        <w:rPr>
          <w:rFonts w:ascii="Times New Roman" w:hAnsi="Times New Roman"/>
          <w:color w:val="000000"/>
          <w:sz w:val="20"/>
        </w:rPr>
      </w:pPr>
      <w:r>
        <w:rPr>
          <w:rFonts w:ascii="Times New Roman" w:hAnsi="Times New Roman"/>
          <w:color w:val="000000"/>
          <w:sz w:val="20"/>
        </w:rPr>
        <w:t>August 24, 2026</w:t>
      </w:r>
    </w:p>
    <w:p>
      <w:pPr>
        <w:pStyle w:val="TextBody"/>
        <w:bidi w:val="0"/>
        <w:spacing w:before="18"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rcel_exfilingfees.htm"/>
      <w:bookmarkStart w:id="7" w:name="ksrcel_exfilingfees"/>
      <w:bookmarkEnd w:id="6"/>
      <w:bookmarkEnd w:id="7"/>
      <w:r>
        <w:rPr/>
        <w:t> </w:t>
      </w:r>
      <w:r>
        <w:br w:type="page"/>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107</w:t>
      </w:r>
    </w:p>
    <w:p>
      <w:pPr>
        <w:pStyle w:val="TextBody"/>
        <w:bidi w:val="0"/>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rFonts w:ascii="Times New Roman" w:hAnsi="Times New Roman"/>
          <w:color w:val="000000"/>
          <w:sz w:val="20"/>
        </w:rPr>
      </w:pPr>
      <w:r>
        <w:rPr>
          <w:rFonts w:ascii="Times New Roman" w:hAnsi="Times New Roman"/>
          <w:color w:val="000000"/>
          <w:sz w:val="20"/>
        </w:rPr>
        <w:t>(Form Type)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Table 1: Newly Registered and Carry Forward Securities</w:t>
      </w:r>
    </w:p>
    <w:tbl>
      <w:tblPr>
        <w:tblW w:w="10205" w:type="dxa"/>
        <w:jc w:val="left"/>
        <w:tblInd w:w="0" w:type="dxa"/>
        <w:tblLayout w:type="fixed"/>
        <w:tblCellMar>
          <w:top w:w="28" w:type="dxa"/>
          <w:left w:w="28" w:type="dxa"/>
          <w:bottom w:w="28" w:type="dxa"/>
          <w:right w:w="28" w:type="dxa"/>
        </w:tblCellMar>
      </w:tblPr>
      <w:tblGrid>
        <w:gridCol w:w="846"/>
        <w:gridCol w:w="842"/>
        <w:gridCol w:w="1034"/>
        <w:gridCol w:w="151"/>
        <w:gridCol w:w="151"/>
        <w:gridCol w:w="718"/>
        <w:gridCol w:w="146"/>
        <w:gridCol w:w="349"/>
        <w:gridCol w:w="336"/>
        <w:gridCol w:w="723"/>
        <w:gridCol w:w="146"/>
        <w:gridCol w:w="349"/>
        <w:gridCol w:w="211"/>
        <w:gridCol w:w="1133"/>
        <w:gridCol w:w="146"/>
        <w:gridCol w:w="349"/>
        <w:gridCol w:w="146"/>
        <w:gridCol w:w="961"/>
        <w:gridCol w:w="146"/>
        <w:gridCol w:w="275"/>
        <w:gridCol w:w="848"/>
        <w:gridCol w:w="199"/>
      </w:tblGrid>
      <w:tr>
        <w:trPr/>
        <w:tc>
          <w:tcPr>
            <w:tcW w:w="8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8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Type</w:t>
            </w:r>
          </w:p>
        </w:tc>
        <w:tc>
          <w:tcPr>
            <w:tcW w:w="84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Security Class Title</w:t>
            </w:r>
          </w:p>
        </w:tc>
        <w:tc>
          <w:tcPr>
            <w:tcW w:w="10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Calculation Rule</w:t>
            </w:r>
          </w:p>
        </w:tc>
        <w:tc>
          <w:tcPr>
            <w:tcW w:w="1020" w:type="dxa"/>
            <w:gridSpan w:val="3"/>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Registered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Proposed Maximum Offering Price Per Unit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Aggregate Offering Price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Fee Rate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 of Registration Fee</w:t>
            </w:r>
          </w:p>
        </w:tc>
        <w:tc>
          <w:tcPr>
            <w:tcW w:w="19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par value </w:t>
              <w:br/>
              <w:t>$0.0001 per share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457(h)</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364,928.46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0.00013810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par value </w:t>
              <w:br/>
              <w:t>$0.0001 per share</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457(h)</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502,480.68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par value </w:t>
              <w:br/>
              <w:t>$0.0001 per share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457(h)</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102,177.68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0.00013810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par value </w:t>
              <w:br/>
              <w:t>$0.0001 per share</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457(h)</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par value </w:t>
              <w:br/>
              <w:t>$0.0001 per share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457(h)</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102,177.62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0.00013810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Common Stock, par value </w:t>
              <w:br/>
              <w:t>$0.0001 per share</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457(h)</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140,698.09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Offering Amounts</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1,353,162.53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Fee Offsets (13)</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Fee Due</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186.87</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Represents 96,798 shares of Common Stock issuable to the non-employee directors of the Registrant upon the exercise of outstanding stock options issued pursuant to individual stock option grant agreements in 2026.</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proposed maximum offering price per share has been determined pursuant to Rule 457(h) of the Securities Act solely for the purpose of calculating the registration fee. The proposed maximum offering price per share is $3.77, which is the exercise price of options granted pursuant to the individual stock option grant agreements.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Represents 133,284 shares of Common Stock issuable to the non-employee directors of the Registrant upon the vesting of restricted stock units (“RSUs”) issued pursuant to individual RSU grant agreements in 2026.</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proposed maximum offering price per share has been determined pursuant to Rule 457(h) of the Securities Act solely for the purpose of calculating the registration fee. The proposed maximum offering price per share is $3.77, which is the grant date fair value of the RSUs pursuant to the individual restricted stock unit grant agreements.</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Represents 19,063 shares of Common Stock issuable to a non-employee director of the Registrant upon the exercise of outstanding stock options issued pursuant to individual stock option grant agreements in 2026.</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(6)</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proposed maximum offering price per share has been determined pursuant to Rule 457(h) of the Securities Act solely for the purpose of calculating the registration fee. The proposed maximum offering price per share is $5.36, which is the exercise price of options granted pursuant to the individual stock option grant agreement.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(7)</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Represents 26,250 shares of Common Stock issuable to a non-employee director of the Registrant upon the vesting of RSUs issued pursuant to individual RSU grant agreements in 2026.</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(8)</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proposed maximum offering price per share has been determined pursuant to Rule 457(h) of the Securities Act solely for the purpose of calculating the registration fee. The proposed maximum offering price per share is $5.36, which is the grant date fair value of the RSUs pursuant to the individual restricted stock unit grant agreement.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(9)</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Represents 29,446 shares of Common Stock issuable to a non-employee director of the Registrant upon the exercise of outstanding stock options issued pursuant to individual stock option grant agreements in 2026.</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(10)</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proposed maximum offering price per share has been determined pursuant to Rule 457(h) of the Securities Act solely for the purpose of calculating the registration fee. The proposed maximum offering price per share is $3.47, which is the exercise price of options granted pursuant to the individual stock option grant agreement.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(11)</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Represents 40,547 shares of Common Stock issuable to a non-employee director of the Registrant upon the vesting of RSUs issued pursuant to individual RSU grant agreements in 2026.</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(12)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proposed maximum offering price per share has been determined pursuant to Rule 457(h) of the Securities Act solely for the purpose of calculating the registration fee. The proposed maximum offering price per share is $3.47, which is the grant date fair value of the RSUs pursuant to the individual restricted stock unit grant agreement.</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(13)</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The Registrant does not have any fee offsets.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762303/000119312526049031/rcel-20251231.htm" TargetMode="External"/><Relationship Id="rId3" Type="http://schemas.openxmlformats.org/officeDocument/2006/relationships/hyperlink" Target="https://www.sec.gov/ix?doc=/Archives/edgar/data/0001762303/000119312526170562/rcel-20260422.htm" TargetMode="External"/><Relationship Id="rId4" Type="http://schemas.openxmlformats.org/officeDocument/2006/relationships/hyperlink" Target="https://www.sec.gov/ix?doc=/Archives/edgar/data/0001762303/000119312526224107/rcel-20260331.htm" TargetMode="External"/><Relationship Id="rId5" Type="http://schemas.openxmlformats.org/officeDocument/2006/relationships/hyperlink" Target="https://www.sec.gov/ix?doc=/Archives/edgar/data/0001762303/000119312526338101/rcel-20260630.htm" TargetMode="External"/><Relationship Id="rId6" Type="http://schemas.openxmlformats.org/officeDocument/2006/relationships/hyperlink" Target="https://www.sec.gov/ix?doc=/Archives/edgar/data/0001762303/000119312526002418/rcel-20260101.htm" TargetMode="External"/><Relationship Id="rId7" Type="http://schemas.openxmlformats.org/officeDocument/2006/relationships/hyperlink" Target="https://www.sec.gov/ix?doc=/Archives/edgar/data/0001762303/000119312526011167/rcel-20260113.htm" TargetMode="External"/><Relationship Id="rId8" Type="http://schemas.openxmlformats.org/officeDocument/2006/relationships/hyperlink" Target="https://www.sec.gov/ix?doc=/Archives/edgar/data/0001762303/000119312526201662/rcel-20260430.htm" TargetMode="External"/><Relationship Id="rId9" Type="http://schemas.openxmlformats.org/officeDocument/2006/relationships/hyperlink" Target="https://www.sec.gov/ix?doc=/Archives/edgar/data/0001762303/000176230326000003/rcel-20260603.htm" TargetMode="External"/><Relationship Id="rId10" Type="http://schemas.openxmlformats.org/officeDocument/2006/relationships/hyperlink" Target="https://www.sec.gov/ix?doc=/Archives/edgar/data/0001762303/000176230326000011/rcel-20260605.htm" TargetMode="External"/><Relationship Id="rId11" Type="http://schemas.openxmlformats.org/officeDocument/2006/relationships/hyperlink" Target="https://www.sec.gov/ix?doc=/Archives/edgar/data/0001762303/000119312526338135/rcel-20260603.htm" TargetMode="External"/><Relationship Id="rId12" Type="http://schemas.openxmlformats.org/officeDocument/2006/relationships/hyperlink" Target="https://www.sec.gov/ix?doc=/Archives/edgar/data/0001762303/000119312526344787/rcel-20260805.htm" TargetMode="External"/><Relationship Id="rId13" Type="http://schemas.openxmlformats.org/officeDocument/2006/relationships/hyperlink" Target="https://www.sec.gov/Archives/edgar/data/1762303/000119312520183429/d75062d8k12b.htm" TargetMode="External"/><Relationship Id="rId14" Type="http://schemas.openxmlformats.org/officeDocument/2006/relationships/hyperlink" Target="https://www.sec.gov/Archives/edgar/data/1762303/000119312520183429/d75062dex31.htm" TargetMode="External"/><Relationship Id="rId15" Type="http://schemas.openxmlformats.org/officeDocument/2006/relationships/hyperlink" Target="https://www.sec.gov/Archives/edgar/data/1762303/000156459022007617/rcel-ex32_14.htm" TargetMode="External"/><Relationship Id="rId16" Type="http://schemas.openxmlformats.org/officeDocument/2006/relationships/hyperlink" Target="https://www.sec.gov/Archives/edgar/data/1762303/000095017025072746/rcel-ex3_1.htm" TargetMode="External"/><Relationship Id="rId17" Type="http://schemas.openxmlformats.org/officeDocument/2006/relationships/hyperlink" Target="https://www.sec.gov/Archives/edgar/data/1762303/000119312520183429/d75062dex41.htm" TargetMode="External"/><Relationship Id="rId18" Type="http://schemas.openxmlformats.org/officeDocument/2006/relationships/hyperlink" Target="https://www.sec.gov/Archives/edgar/data/1762303/000156459023002302/rcel-ex1019_212.htm" TargetMode="External"/><Relationship Id="rId19" Type="http://schemas.openxmlformats.org/officeDocument/2006/relationships/hyperlink" Target="https://www.sec.gov/Archives/edgar/data/1762303/000156459023002302/rcel-ex1020_218.htm" TargetMode="External"/><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5004</Words>
  <Characters>26576</Characters>
  <CharactersWithSpaces>31493</CharactersWithSpaces>
  <Paragraphs>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